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29" w:rsidRPr="00EE3D9A" w:rsidRDefault="00F07D37" w:rsidP="00361CC8">
      <w:pPr>
        <w:rPr>
          <w:rFonts w:ascii="Constantia" w:hAnsi="Constantia"/>
          <w:b/>
          <w:color w:val="808080" w:themeColor="background1" w:themeShade="80"/>
          <w:sz w:val="44"/>
          <w:szCs w:val="44"/>
        </w:rPr>
      </w:pPr>
      <w:bookmarkStart w:id="0" w:name="_GoBack"/>
      <w:bookmarkEnd w:id="0"/>
      <w:r>
        <w:rPr>
          <w:rFonts w:ascii="Constantia" w:hAnsi="Constantia"/>
          <w:b/>
          <w:color w:val="808080" w:themeColor="background1" w:themeShade="80"/>
          <w:sz w:val="44"/>
          <w:szCs w:val="44"/>
        </w:rPr>
        <w:t>Model</w:t>
      </w:r>
    </w:p>
    <w:p w:rsidR="00496E29" w:rsidRPr="00A334F5" w:rsidRDefault="00496E29" w:rsidP="00361CC8">
      <w:pPr>
        <w:rPr>
          <w:rFonts w:ascii="Constantia" w:hAnsi="Constantia"/>
          <w:b/>
          <w:sz w:val="32"/>
          <w:szCs w:val="32"/>
        </w:rPr>
      </w:pPr>
    </w:p>
    <w:p w:rsidR="00496E29" w:rsidRPr="00A334F5" w:rsidRDefault="00496E29" w:rsidP="00361CC8">
      <w:pPr>
        <w:rPr>
          <w:rFonts w:ascii="Constantia" w:hAnsi="Constantia"/>
          <w:b/>
          <w:sz w:val="32"/>
          <w:szCs w:val="32"/>
        </w:rPr>
      </w:pPr>
    </w:p>
    <w:p w:rsidR="00496E29" w:rsidRPr="00A334F5" w:rsidRDefault="00496E29" w:rsidP="00361CC8">
      <w:pPr>
        <w:rPr>
          <w:rFonts w:ascii="Constantia" w:hAnsi="Constantia"/>
          <w:b/>
          <w:sz w:val="32"/>
          <w:szCs w:val="32"/>
        </w:rPr>
      </w:pPr>
    </w:p>
    <w:p w:rsidR="00496E29" w:rsidRPr="00A334F5" w:rsidRDefault="00496E29" w:rsidP="00361CC8">
      <w:pPr>
        <w:rPr>
          <w:rFonts w:ascii="Constantia" w:hAnsi="Constantia"/>
          <w:b/>
          <w:sz w:val="32"/>
          <w:szCs w:val="32"/>
        </w:rPr>
      </w:pPr>
    </w:p>
    <w:p w:rsidR="00496E29" w:rsidRPr="00A334F5" w:rsidRDefault="00496E29" w:rsidP="00361CC8">
      <w:pPr>
        <w:rPr>
          <w:rFonts w:ascii="Constantia" w:hAnsi="Constantia"/>
          <w:b/>
          <w:sz w:val="32"/>
          <w:szCs w:val="32"/>
        </w:rPr>
      </w:pPr>
    </w:p>
    <w:p w:rsidR="00496E29" w:rsidRPr="00A334F5" w:rsidRDefault="00496E29" w:rsidP="00361CC8">
      <w:pPr>
        <w:rPr>
          <w:rFonts w:ascii="Constantia" w:hAnsi="Constantia"/>
          <w:b/>
          <w:sz w:val="32"/>
          <w:szCs w:val="32"/>
        </w:rPr>
      </w:pPr>
    </w:p>
    <w:p w:rsidR="00361CC8" w:rsidRPr="00A334F5" w:rsidRDefault="00FB6B93" w:rsidP="00361CC8">
      <w:pPr>
        <w:rPr>
          <w:rFonts w:ascii="Constantia" w:hAnsi="Constantia"/>
          <w:b/>
          <w:sz w:val="32"/>
          <w:szCs w:val="32"/>
        </w:rPr>
      </w:pPr>
      <w:r>
        <w:rPr>
          <w:rFonts w:ascii="Constantia" w:hAnsi="Constantia"/>
          <w:b/>
          <w:sz w:val="32"/>
          <w:szCs w:val="32"/>
        </w:rPr>
        <w:t>Lescha</w:t>
      </w:r>
      <w:r w:rsidR="00361CC8" w:rsidRPr="00A334F5">
        <w:rPr>
          <w:rFonts w:ascii="Constantia" w:hAnsi="Constantia"/>
          <w:b/>
          <w:sz w:val="32"/>
          <w:szCs w:val="32"/>
        </w:rPr>
        <w:t xml:space="preserve"> per la cumissiun da gestiun</w:t>
      </w:r>
    </w:p>
    <w:p w:rsidR="00361CC8" w:rsidRPr="00A334F5" w:rsidRDefault="00361CC8" w:rsidP="00361CC8">
      <w:pPr>
        <w:rPr>
          <w:rFonts w:ascii="Constantia" w:hAnsi="Constantia"/>
          <w:b/>
          <w:sz w:val="32"/>
          <w:szCs w:val="32"/>
        </w:rPr>
      </w:pPr>
      <w:r w:rsidRPr="00A334F5">
        <w:rPr>
          <w:rFonts w:ascii="Constantia" w:hAnsi="Constantia"/>
          <w:b/>
          <w:sz w:val="32"/>
          <w:szCs w:val="32"/>
        </w:rPr>
        <w:t>da la vischnanca da XY</w:t>
      </w:r>
    </w:p>
    <w:p w:rsidR="00361CC8" w:rsidRPr="00A334F5" w:rsidRDefault="00361CC8" w:rsidP="00361CC8">
      <w:pPr>
        <w:spacing w:line="240" w:lineRule="auto"/>
        <w:jc w:val="both"/>
        <w:rPr>
          <w:rFonts w:cs="Arial"/>
          <w:sz w:val="24"/>
          <w:szCs w:val="24"/>
        </w:rPr>
      </w:pPr>
    </w:p>
    <w:p w:rsidR="00361CC8" w:rsidRPr="00A334F5" w:rsidRDefault="00361CC8" w:rsidP="00361CC8">
      <w:pPr>
        <w:spacing w:line="240" w:lineRule="auto"/>
        <w:jc w:val="both"/>
        <w:rPr>
          <w:rFonts w:cs="Arial"/>
          <w:sz w:val="24"/>
          <w:szCs w:val="24"/>
        </w:rPr>
      </w:pPr>
    </w:p>
    <w:p w:rsidR="00361CC8" w:rsidRPr="00A334F5" w:rsidRDefault="00361CC8" w:rsidP="00361CC8">
      <w:pPr>
        <w:spacing w:line="240" w:lineRule="auto"/>
        <w:jc w:val="both"/>
        <w:rPr>
          <w:rFonts w:cs="Arial"/>
          <w:sz w:val="24"/>
          <w:szCs w:val="24"/>
        </w:rPr>
      </w:pPr>
    </w:p>
    <w:p w:rsidR="00361CC8" w:rsidRPr="00A334F5" w:rsidRDefault="00361CC8" w:rsidP="00361CC8">
      <w:pPr>
        <w:spacing w:line="240" w:lineRule="auto"/>
        <w:jc w:val="both"/>
        <w:rPr>
          <w:rFonts w:cs="Arial"/>
          <w:sz w:val="24"/>
          <w:szCs w:val="24"/>
        </w:rPr>
      </w:pPr>
    </w:p>
    <w:p w:rsidR="00361CC8" w:rsidRPr="00A334F5" w:rsidRDefault="00361CC8" w:rsidP="00361CC8">
      <w:pPr>
        <w:spacing w:line="240" w:lineRule="auto"/>
        <w:jc w:val="both"/>
        <w:rPr>
          <w:rFonts w:cs="Arial"/>
          <w:sz w:val="24"/>
          <w:szCs w:val="24"/>
        </w:rPr>
      </w:pPr>
    </w:p>
    <w:p w:rsidR="00361CC8" w:rsidRPr="00A334F5" w:rsidRDefault="00361CC8" w:rsidP="00361CC8">
      <w:pPr>
        <w:spacing w:line="240" w:lineRule="auto"/>
        <w:jc w:val="both"/>
        <w:rPr>
          <w:rFonts w:cs="Arial"/>
          <w:sz w:val="24"/>
          <w:szCs w:val="24"/>
        </w:rPr>
      </w:pPr>
    </w:p>
    <w:p w:rsidR="00361CC8" w:rsidRPr="00A334F5" w:rsidRDefault="00361CC8" w:rsidP="00361CC8">
      <w:pPr>
        <w:spacing w:line="240" w:lineRule="auto"/>
        <w:jc w:val="both"/>
        <w:rPr>
          <w:rFonts w:cs="Arial"/>
          <w:sz w:val="24"/>
          <w:szCs w:val="24"/>
        </w:rPr>
      </w:pPr>
    </w:p>
    <w:p w:rsidR="00361CC8" w:rsidRPr="003A1D00" w:rsidRDefault="00361CC8" w:rsidP="00361CC8">
      <w:pPr>
        <w:spacing w:line="240" w:lineRule="auto"/>
        <w:jc w:val="both"/>
        <w:rPr>
          <w:rFonts w:cs="Arial"/>
          <w:sz w:val="24"/>
          <w:szCs w:val="24"/>
        </w:rPr>
      </w:pPr>
    </w:p>
    <w:p w:rsidR="00361CC8" w:rsidRPr="003A1D00" w:rsidRDefault="00361CC8" w:rsidP="00361CC8">
      <w:pPr>
        <w:spacing w:line="240" w:lineRule="auto"/>
        <w:jc w:val="both"/>
        <w:rPr>
          <w:rFonts w:cs="Arial"/>
          <w:sz w:val="24"/>
          <w:szCs w:val="24"/>
        </w:rPr>
      </w:pPr>
    </w:p>
    <w:p w:rsidR="00361CC8" w:rsidRPr="003A1D00" w:rsidRDefault="00361CC8" w:rsidP="00361CC8">
      <w:pPr>
        <w:spacing w:line="240" w:lineRule="auto"/>
        <w:jc w:val="both"/>
        <w:rPr>
          <w:rFonts w:cs="Arial"/>
          <w:sz w:val="24"/>
          <w:szCs w:val="24"/>
        </w:rPr>
      </w:pPr>
    </w:p>
    <w:p w:rsidR="00361CC8" w:rsidRDefault="00361CC8" w:rsidP="00361CC8">
      <w:pPr>
        <w:spacing w:line="240" w:lineRule="auto"/>
        <w:jc w:val="both"/>
        <w:rPr>
          <w:rFonts w:cs="Arial"/>
          <w:sz w:val="24"/>
          <w:szCs w:val="24"/>
        </w:rPr>
      </w:pPr>
    </w:p>
    <w:p w:rsidR="00496E29" w:rsidRDefault="00496E29" w:rsidP="00361CC8">
      <w:pPr>
        <w:spacing w:line="240" w:lineRule="auto"/>
        <w:jc w:val="both"/>
        <w:rPr>
          <w:rFonts w:cs="Arial"/>
          <w:sz w:val="24"/>
          <w:szCs w:val="24"/>
        </w:rPr>
      </w:pPr>
    </w:p>
    <w:p w:rsidR="00496E29" w:rsidRDefault="00496E29" w:rsidP="00361CC8">
      <w:pPr>
        <w:spacing w:line="240" w:lineRule="auto"/>
        <w:jc w:val="both"/>
        <w:rPr>
          <w:rFonts w:cs="Arial"/>
          <w:sz w:val="24"/>
          <w:szCs w:val="24"/>
        </w:rPr>
      </w:pPr>
    </w:p>
    <w:p w:rsidR="00361CC8" w:rsidRPr="00A334F5" w:rsidRDefault="00361CC8" w:rsidP="00361CC8">
      <w:pPr>
        <w:rPr>
          <w:rFonts w:ascii="Constantia" w:hAnsi="Constantia"/>
          <w:b/>
          <w:sz w:val="32"/>
          <w:szCs w:val="32"/>
        </w:rPr>
      </w:pPr>
      <w:r w:rsidRPr="00A334F5">
        <w:rPr>
          <w:rFonts w:ascii="Constantia" w:hAnsi="Constantia"/>
          <w:b/>
          <w:sz w:val="32"/>
          <w:szCs w:val="32"/>
        </w:rPr>
        <w:lastRenderedPageBreak/>
        <w:t>Cuntegn</w:t>
      </w:r>
    </w:p>
    <w:p w:rsidR="00361CC8" w:rsidRPr="00A334F5" w:rsidRDefault="00361CC8" w:rsidP="00361CC8">
      <w:pPr>
        <w:rPr>
          <w:rFonts w:ascii="Calibri Light" w:hAnsi="Calibri Light"/>
          <w:b/>
          <w:sz w:val="32"/>
          <w:szCs w:val="32"/>
        </w:rPr>
      </w:pPr>
    </w:p>
    <w:p w:rsidR="005C2CF2" w:rsidRPr="005C2CF2" w:rsidRDefault="00361CC8">
      <w:pPr>
        <w:pStyle w:val="Verzeichnis1"/>
        <w:rPr>
          <w:rFonts w:asciiTheme="minorHAnsi" w:eastAsiaTheme="minorEastAsia" w:hAnsiTheme="minorHAnsi" w:cstheme="minorHAnsi"/>
          <w:b w:val="0"/>
          <w:sz w:val="22"/>
          <w:szCs w:val="22"/>
          <w:lang w:val="de-CH" w:eastAsia="de-CH"/>
        </w:rPr>
      </w:pPr>
      <w:r w:rsidRPr="005C2CF2">
        <w:rPr>
          <w:rFonts w:asciiTheme="minorHAnsi" w:eastAsia="Calibri" w:hAnsiTheme="minorHAnsi" w:cstheme="minorHAnsi"/>
          <w:sz w:val="22"/>
          <w:szCs w:val="22"/>
        </w:rPr>
        <w:fldChar w:fldCharType="begin"/>
      </w:r>
      <w:r w:rsidRPr="005C2CF2">
        <w:rPr>
          <w:rFonts w:asciiTheme="minorHAnsi" w:hAnsiTheme="minorHAnsi" w:cstheme="minorHAnsi"/>
          <w:sz w:val="22"/>
          <w:szCs w:val="22"/>
        </w:rPr>
        <w:instrText xml:space="preserve"> TOC \o "1-3" \h \z \u </w:instrText>
      </w:r>
      <w:r w:rsidRPr="005C2CF2">
        <w:rPr>
          <w:rFonts w:asciiTheme="minorHAnsi" w:eastAsia="Calibri" w:hAnsiTheme="minorHAnsi" w:cstheme="minorHAnsi"/>
          <w:sz w:val="22"/>
          <w:szCs w:val="22"/>
        </w:rPr>
        <w:fldChar w:fldCharType="separate"/>
      </w:r>
      <w:hyperlink w:anchor="_Toc517258322" w:history="1">
        <w:r w:rsidR="005C2CF2" w:rsidRPr="005C2CF2">
          <w:rPr>
            <w:rStyle w:val="Hyperlink"/>
            <w:rFonts w:asciiTheme="minorHAnsi" w:hAnsiTheme="minorHAnsi" w:cstheme="minorHAnsi"/>
            <w:sz w:val="22"/>
            <w:szCs w:val="22"/>
          </w:rPr>
          <w:t>I.</w:t>
        </w:r>
        <w:r w:rsidR="005C2CF2" w:rsidRPr="005C2CF2">
          <w:rPr>
            <w:rFonts w:asciiTheme="minorHAnsi" w:eastAsiaTheme="minorEastAsia" w:hAnsiTheme="minorHAnsi" w:cstheme="minorHAnsi"/>
            <w:b w:val="0"/>
            <w:sz w:val="22"/>
            <w:szCs w:val="22"/>
            <w:lang w:val="de-CH" w:eastAsia="de-CH"/>
          </w:rPr>
          <w:tab/>
        </w:r>
        <w:r w:rsidR="005C2CF2" w:rsidRPr="005C2CF2">
          <w:rPr>
            <w:rStyle w:val="Hyperlink"/>
            <w:rFonts w:asciiTheme="minorHAnsi" w:hAnsiTheme="minorHAnsi" w:cstheme="minorHAnsi"/>
            <w:sz w:val="22"/>
            <w:szCs w:val="22"/>
          </w:rPr>
          <w:t>Status giuridic da la cumissiun da gestiun</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_Toc517258322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3</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23" w:history="1">
        <w:r w:rsidR="005C2CF2" w:rsidRPr="005C2CF2">
          <w:rPr>
            <w:rStyle w:val="Hyperlink"/>
            <w:rFonts w:asciiTheme="minorHAnsi" w:hAnsiTheme="minorHAnsi" w:cstheme="minorHAnsi"/>
            <w:sz w:val="22"/>
            <w:szCs w:val="22"/>
          </w:rPr>
          <w:t>Art. 1</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Posiziun</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_Toc517258323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3</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24" w:history="1">
        <w:r w:rsidR="005C2CF2" w:rsidRPr="005C2CF2">
          <w:rPr>
            <w:rStyle w:val="Hyperlink"/>
            <w:rFonts w:asciiTheme="minorHAnsi" w:hAnsiTheme="minorHAnsi" w:cstheme="minorHAnsi"/>
            <w:sz w:val="22"/>
            <w:szCs w:val="22"/>
          </w:rPr>
          <w:t>Art. 2</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Pretensiuns, premissas optimalas</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_Toc517258324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3</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25" w:history="1">
        <w:r w:rsidR="005C2CF2" w:rsidRPr="005C2CF2">
          <w:rPr>
            <w:rStyle w:val="Hyperlink"/>
            <w:rFonts w:asciiTheme="minorHAnsi" w:hAnsiTheme="minorHAnsi" w:cstheme="minorHAnsi"/>
            <w:sz w:val="22"/>
            <w:szCs w:val="22"/>
          </w:rPr>
          <w:t>Art. 3</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Scolaziun</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_Toc517258325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3</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26" w:history="1">
        <w:r w:rsidR="005C2CF2" w:rsidRPr="005C2CF2">
          <w:rPr>
            <w:rStyle w:val="Hyperlink"/>
            <w:rFonts w:asciiTheme="minorHAnsi" w:hAnsiTheme="minorHAnsi" w:cstheme="minorHAnsi"/>
            <w:sz w:val="22"/>
            <w:szCs w:val="22"/>
          </w:rPr>
          <w:t>Art. 4</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Expertas ed experts</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_Toc517258326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3</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27" w:history="1">
        <w:r w:rsidR="005C2CF2" w:rsidRPr="005C2CF2">
          <w:rPr>
            <w:rStyle w:val="Hyperlink"/>
            <w:rFonts w:asciiTheme="minorHAnsi" w:hAnsiTheme="minorHAnsi" w:cstheme="minorHAnsi"/>
            <w:sz w:val="22"/>
            <w:szCs w:val="22"/>
          </w:rPr>
          <w:t>Art. 5</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Responsabladad</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_Toc517258327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3</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1"/>
        <w:rPr>
          <w:rFonts w:asciiTheme="minorHAnsi" w:eastAsiaTheme="minorEastAsia" w:hAnsiTheme="minorHAnsi" w:cstheme="minorHAnsi"/>
          <w:b w:val="0"/>
          <w:sz w:val="22"/>
          <w:szCs w:val="22"/>
          <w:lang w:val="de-CH" w:eastAsia="de-CH"/>
        </w:rPr>
      </w:pPr>
      <w:hyperlink w:anchor="_Toc517258328" w:history="1">
        <w:r w:rsidR="005C2CF2" w:rsidRPr="005C2CF2">
          <w:rPr>
            <w:rStyle w:val="Hyperlink"/>
            <w:rFonts w:asciiTheme="minorHAnsi" w:hAnsiTheme="minorHAnsi" w:cstheme="minorHAnsi"/>
            <w:sz w:val="22"/>
            <w:szCs w:val="22"/>
          </w:rPr>
          <w:t>II.</w:t>
        </w:r>
        <w:r w:rsidR="005C2CF2" w:rsidRPr="005C2CF2">
          <w:rPr>
            <w:rFonts w:asciiTheme="minorHAnsi" w:eastAsiaTheme="minorEastAsia" w:hAnsiTheme="minorHAnsi" w:cstheme="minorHAnsi"/>
            <w:b w:val="0"/>
            <w:sz w:val="22"/>
            <w:szCs w:val="22"/>
            <w:lang w:val="de-CH" w:eastAsia="de-CH"/>
          </w:rPr>
          <w:tab/>
        </w:r>
        <w:r w:rsidR="005C2CF2" w:rsidRPr="005C2CF2">
          <w:rPr>
            <w:rStyle w:val="Hyperlink"/>
            <w:rFonts w:asciiTheme="minorHAnsi" w:hAnsiTheme="minorHAnsi" w:cstheme="minorHAnsi"/>
            <w:sz w:val="22"/>
            <w:szCs w:val="22"/>
          </w:rPr>
          <w:t>Organisaziun</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_Toc517258328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3</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29" w:history="1">
        <w:r w:rsidR="005C2CF2" w:rsidRPr="005C2CF2">
          <w:rPr>
            <w:rStyle w:val="Hyperlink"/>
            <w:rFonts w:asciiTheme="minorHAnsi" w:hAnsiTheme="minorHAnsi" w:cstheme="minorHAnsi"/>
            <w:sz w:val="22"/>
            <w:szCs w:val="22"/>
          </w:rPr>
          <w:t>Art. 6</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Cumposiziun, durada d'uffizi</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_Toc517258329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3</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30" w:history="1">
        <w:r w:rsidR="005C2CF2" w:rsidRPr="005C2CF2">
          <w:rPr>
            <w:rStyle w:val="Hyperlink"/>
            <w:rFonts w:asciiTheme="minorHAnsi" w:hAnsiTheme="minorHAnsi" w:cstheme="minorHAnsi"/>
            <w:sz w:val="22"/>
            <w:szCs w:val="22"/>
          </w:rPr>
          <w:t>Art. 7</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Convocaziun</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_Toc517258330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3</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31" w:history="1">
        <w:r w:rsidR="005C2CF2" w:rsidRPr="005C2CF2">
          <w:rPr>
            <w:rStyle w:val="Hyperlink"/>
            <w:rFonts w:asciiTheme="minorHAnsi" w:hAnsiTheme="minorHAnsi" w:cstheme="minorHAnsi"/>
            <w:sz w:val="22"/>
            <w:szCs w:val="22"/>
          </w:rPr>
          <w:t>Art. 8</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Indemnisaziun</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_Toc517258331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4</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32" w:history="1">
        <w:r w:rsidR="005C2CF2" w:rsidRPr="005C2CF2">
          <w:rPr>
            <w:rStyle w:val="Hyperlink"/>
            <w:rFonts w:asciiTheme="minorHAnsi" w:hAnsiTheme="minorHAnsi" w:cstheme="minorHAnsi"/>
            <w:sz w:val="22"/>
            <w:szCs w:val="22"/>
          </w:rPr>
          <w:t>Art. 9</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Abilitad da concluder</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_Toc517258332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4</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33" w:history="1">
        <w:r w:rsidR="005C2CF2" w:rsidRPr="005C2CF2">
          <w:rPr>
            <w:rStyle w:val="Hyperlink"/>
            <w:rFonts w:asciiTheme="minorHAnsi" w:hAnsiTheme="minorHAnsi" w:cstheme="minorHAnsi"/>
            <w:sz w:val="22"/>
            <w:szCs w:val="22"/>
          </w:rPr>
          <w:t>Art. 10</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Recusaziun</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_Toc517258333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4</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34" w:history="1">
        <w:r w:rsidR="005C2CF2" w:rsidRPr="005C2CF2">
          <w:rPr>
            <w:rStyle w:val="Hyperlink"/>
            <w:rFonts w:asciiTheme="minorHAnsi" w:hAnsiTheme="minorHAnsi" w:cstheme="minorHAnsi"/>
            <w:sz w:val="22"/>
            <w:szCs w:val="22"/>
          </w:rPr>
          <w:t>Art. 11</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Documents da controlla, protocollaziun</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_Toc517258334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4</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1"/>
        <w:rPr>
          <w:rFonts w:asciiTheme="minorHAnsi" w:eastAsiaTheme="minorEastAsia" w:hAnsiTheme="minorHAnsi" w:cstheme="minorHAnsi"/>
          <w:b w:val="0"/>
          <w:sz w:val="22"/>
          <w:szCs w:val="22"/>
          <w:lang w:val="de-CH" w:eastAsia="de-CH"/>
        </w:rPr>
      </w:pPr>
      <w:hyperlink w:anchor="_Toc517258335" w:history="1">
        <w:r w:rsidR="005C2CF2" w:rsidRPr="005C2CF2">
          <w:rPr>
            <w:rStyle w:val="Hyperlink"/>
            <w:rFonts w:asciiTheme="minorHAnsi" w:hAnsiTheme="minorHAnsi" w:cstheme="minorHAnsi"/>
            <w:sz w:val="22"/>
            <w:szCs w:val="22"/>
          </w:rPr>
          <w:t>III.</w:t>
        </w:r>
        <w:r w:rsidR="005C2CF2" w:rsidRPr="005C2CF2">
          <w:rPr>
            <w:rFonts w:asciiTheme="minorHAnsi" w:eastAsiaTheme="minorEastAsia" w:hAnsiTheme="minorHAnsi" w:cstheme="minorHAnsi"/>
            <w:b w:val="0"/>
            <w:sz w:val="22"/>
            <w:szCs w:val="22"/>
            <w:lang w:val="de-CH" w:eastAsia="de-CH"/>
          </w:rPr>
          <w:tab/>
        </w:r>
        <w:r w:rsidR="005C2CF2" w:rsidRPr="005C2CF2">
          <w:rPr>
            <w:rStyle w:val="Hyperlink"/>
            <w:rFonts w:asciiTheme="minorHAnsi" w:hAnsiTheme="minorHAnsi" w:cstheme="minorHAnsi"/>
            <w:sz w:val="22"/>
            <w:szCs w:val="22"/>
          </w:rPr>
          <w:t>Dretgs ed obligaziuns</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_Toc517258335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4</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36" w:history="1">
        <w:r w:rsidR="005C2CF2" w:rsidRPr="005C2CF2">
          <w:rPr>
            <w:rStyle w:val="Hyperlink"/>
            <w:rFonts w:asciiTheme="minorHAnsi" w:hAnsiTheme="minorHAnsi" w:cstheme="minorHAnsi"/>
            <w:sz w:val="22"/>
            <w:szCs w:val="22"/>
          </w:rPr>
          <w:t>Art. 12</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Incumbensas</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_Toc517258336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4</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37" w:history="1">
        <w:r w:rsidR="005C2CF2" w:rsidRPr="005C2CF2">
          <w:rPr>
            <w:rStyle w:val="Hyperlink"/>
            <w:rFonts w:asciiTheme="minorHAnsi" w:hAnsiTheme="minorHAnsi" w:cstheme="minorHAnsi"/>
            <w:sz w:val="22"/>
            <w:szCs w:val="22"/>
          </w:rPr>
          <w:t>Art. 13</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Repartiziun da las incumbensas</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_Toc517258337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4</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38" w:history="1">
        <w:r w:rsidR="005C2CF2" w:rsidRPr="005C2CF2">
          <w:rPr>
            <w:rStyle w:val="Hyperlink"/>
            <w:rFonts w:asciiTheme="minorHAnsi" w:hAnsiTheme="minorHAnsi" w:cstheme="minorHAnsi"/>
            <w:sz w:val="22"/>
            <w:szCs w:val="22"/>
          </w:rPr>
          <w:t>Art. 14</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Gener e termin da la controlla</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_Toc517258338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4</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39" w:history="1">
        <w:r w:rsidR="005C2CF2" w:rsidRPr="005C2CF2">
          <w:rPr>
            <w:rStyle w:val="Hyperlink"/>
            <w:rFonts w:asciiTheme="minorHAnsi" w:hAnsiTheme="minorHAnsi" w:cstheme="minorHAnsi"/>
            <w:sz w:val="22"/>
            <w:szCs w:val="22"/>
          </w:rPr>
          <w:t>Art. 15</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Dretg da survegnir infurmaziuns e da prender invista</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_Toc517258339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4</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40" w:history="1">
        <w:r w:rsidR="005C2CF2" w:rsidRPr="005C2CF2">
          <w:rPr>
            <w:rStyle w:val="Hyperlink"/>
            <w:rFonts w:asciiTheme="minorHAnsi" w:hAnsiTheme="minorHAnsi" w:cstheme="minorHAnsi"/>
            <w:sz w:val="22"/>
            <w:szCs w:val="22"/>
          </w:rPr>
          <w:t>Art. 16</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Expertas ed experts</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_Toc517258340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5</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41" w:history="1">
        <w:r w:rsidR="005C2CF2" w:rsidRPr="005C2CF2">
          <w:rPr>
            <w:rStyle w:val="Hyperlink"/>
            <w:rFonts w:asciiTheme="minorHAnsi" w:hAnsiTheme="minorHAnsi" w:cstheme="minorHAnsi"/>
            <w:sz w:val="22"/>
            <w:szCs w:val="22"/>
          </w:rPr>
          <w:t>Art. 17</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Cussegliaziun e recumandaziuns</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_Toc517258341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5</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42" w:history="1">
        <w:r w:rsidR="005C2CF2" w:rsidRPr="005C2CF2">
          <w:rPr>
            <w:rStyle w:val="Hyperlink"/>
            <w:rFonts w:asciiTheme="minorHAnsi" w:hAnsiTheme="minorHAnsi" w:cstheme="minorHAnsi"/>
            <w:sz w:val="22"/>
            <w:szCs w:val="22"/>
          </w:rPr>
          <w:t>Art. 18</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Obligaziun da discreziun</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_Toc517258342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5</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1"/>
        <w:rPr>
          <w:rFonts w:asciiTheme="minorHAnsi" w:eastAsiaTheme="minorEastAsia" w:hAnsiTheme="minorHAnsi" w:cstheme="minorHAnsi"/>
          <w:b w:val="0"/>
          <w:sz w:val="22"/>
          <w:szCs w:val="22"/>
          <w:lang w:val="de-CH" w:eastAsia="de-CH"/>
        </w:rPr>
      </w:pPr>
      <w:hyperlink w:anchor="_Toc517258343" w:history="1">
        <w:r w:rsidR="005C2CF2" w:rsidRPr="005C2CF2">
          <w:rPr>
            <w:rStyle w:val="Hyperlink"/>
            <w:rFonts w:asciiTheme="minorHAnsi" w:hAnsiTheme="minorHAnsi" w:cstheme="minorHAnsi"/>
            <w:sz w:val="22"/>
            <w:szCs w:val="22"/>
          </w:rPr>
          <w:t>IV.</w:t>
        </w:r>
        <w:r w:rsidR="005C2CF2" w:rsidRPr="005C2CF2">
          <w:rPr>
            <w:rFonts w:asciiTheme="minorHAnsi" w:eastAsiaTheme="minorEastAsia" w:hAnsiTheme="minorHAnsi" w:cstheme="minorHAnsi"/>
            <w:b w:val="0"/>
            <w:sz w:val="22"/>
            <w:szCs w:val="22"/>
            <w:lang w:val="de-CH" w:eastAsia="de-CH"/>
          </w:rPr>
          <w:tab/>
        </w:r>
        <w:r w:rsidR="005C2CF2" w:rsidRPr="005C2CF2">
          <w:rPr>
            <w:rStyle w:val="Hyperlink"/>
            <w:rFonts w:asciiTheme="minorHAnsi" w:hAnsiTheme="minorHAnsi" w:cstheme="minorHAnsi"/>
            <w:sz w:val="22"/>
            <w:szCs w:val="22"/>
          </w:rPr>
          <w:t>Termins, rapport e proposta</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_Toc517258343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5</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44" w:history="1">
        <w:r w:rsidR="005C2CF2" w:rsidRPr="005C2CF2">
          <w:rPr>
            <w:rStyle w:val="Hyperlink"/>
            <w:rFonts w:asciiTheme="minorHAnsi" w:hAnsiTheme="minorHAnsi" w:cstheme="minorHAnsi"/>
            <w:sz w:val="22"/>
            <w:szCs w:val="22"/>
          </w:rPr>
          <w:t>Art. 19</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Termins</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_Toc517258344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5</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45" w:history="1">
        <w:r w:rsidR="005C2CF2" w:rsidRPr="005C2CF2">
          <w:rPr>
            <w:rStyle w:val="Hyperlink"/>
            <w:rFonts w:asciiTheme="minorHAnsi" w:hAnsiTheme="minorHAnsi" w:cstheme="minorHAnsi"/>
            <w:sz w:val="22"/>
            <w:szCs w:val="22"/>
          </w:rPr>
          <w:t>Art. 20</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Rapport e proposta</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_Toc517258345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5</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1"/>
        <w:rPr>
          <w:rFonts w:asciiTheme="minorHAnsi" w:eastAsiaTheme="minorEastAsia" w:hAnsiTheme="minorHAnsi" w:cstheme="minorHAnsi"/>
          <w:b w:val="0"/>
          <w:sz w:val="22"/>
          <w:szCs w:val="22"/>
          <w:lang w:val="de-CH" w:eastAsia="de-CH"/>
        </w:rPr>
      </w:pPr>
      <w:hyperlink w:anchor="_Toc517258346" w:history="1">
        <w:r w:rsidR="005C2CF2" w:rsidRPr="005C2CF2">
          <w:rPr>
            <w:rStyle w:val="Hyperlink"/>
            <w:rFonts w:asciiTheme="minorHAnsi" w:hAnsiTheme="minorHAnsi" w:cstheme="minorHAnsi"/>
            <w:sz w:val="22"/>
            <w:szCs w:val="22"/>
          </w:rPr>
          <w:t>V.</w:t>
        </w:r>
        <w:r w:rsidR="005C2CF2" w:rsidRPr="005C2CF2">
          <w:rPr>
            <w:rFonts w:asciiTheme="minorHAnsi" w:eastAsiaTheme="minorEastAsia" w:hAnsiTheme="minorHAnsi" w:cstheme="minorHAnsi"/>
            <w:b w:val="0"/>
            <w:sz w:val="22"/>
            <w:szCs w:val="22"/>
            <w:lang w:val="de-CH" w:eastAsia="de-CH"/>
          </w:rPr>
          <w:tab/>
        </w:r>
        <w:r w:rsidR="005C2CF2" w:rsidRPr="005C2CF2">
          <w:rPr>
            <w:rStyle w:val="Hyperlink"/>
            <w:rFonts w:asciiTheme="minorHAnsi" w:hAnsiTheme="minorHAnsi" w:cstheme="minorHAnsi"/>
            <w:sz w:val="22"/>
            <w:szCs w:val="22"/>
          </w:rPr>
          <w:t>Disposiziuns finalas</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_Toc517258346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5</w:t>
        </w:r>
        <w:r w:rsidR="005C2CF2" w:rsidRPr="005C2CF2">
          <w:rPr>
            <w:rFonts w:asciiTheme="minorHAnsi" w:hAnsiTheme="minorHAnsi" w:cstheme="minorHAnsi"/>
            <w:webHidden/>
            <w:sz w:val="22"/>
            <w:szCs w:val="22"/>
          </w:rPr>
          <w:fldChar w:fldCharType="end"/>
        </w:r>
      </w:hyperlink>
    </w:p>
    <w:p w:rsidR="005C2CF2" w:rsidRPr="005C2CF2" w:rsidRDefault="003319F7">
      <w:pPr>
        <w:pStyle w:val="Verzeichnis2"/>
        <w:rPr>
          <w:rFonts w:asciiTheme="minorHAnsi" w:eastAsiaTheme="minorEastAsia" w:hAnsiTheme="minorHAnsi" w:cstheme="minorHAnsi"/>
          <w:sz w:val="22"/>
          <w:szCs w:val="22"/>
          <w:lang w:val="de-CH" w:eastAsia="de-CH"/>
        </w:rPr>
      </w:pPr>
      <w:hyperlink w:anchor="_Toc517258347" w:history="1">
        <w:r w:rsidR="005C2CF2" w:rsidRPr="005C2CF2">
          <w:rPr>
            <w:rStyle w:val="Hyperlink"/>
            <w:rFonts w:asciiTheme="minorHAnsi" w:hAnsiTheme="minorHAnsi" w:cstheme="minorHAnsi"/>
            <w:sz w:val="22"/>
            <w:szCs w:val="22"/>
          </w:rPr>
          <w:t>Art. 21</w:t>
        </w:r>
        <w:r w:rsidR="005C2CF2" w:rsidRPr="005C2CF2">
          <w:rPr>
            <w:rFonts w:asciiTheme="minorHAnsi" w:eastAsiaTheme="minorEastAsia" w:hAnsiTheme="minorHAnsi" w:cstheme="minorHAnsi"/>
            <w:sz w:val="22"/>
            <w:szCs w:val="22"/>
            <w:lang w:val="de-CH" w:eastAsia="de-CH"/>
          </w:rPr>
          <w:tab/>
        </w:r>
        <w:r w:rsidR="005C2CF2" w:rsidRPr="005C2CF2">
          <w:rPr>
            <w:rStyle w:val="Hyperlink"/>
            <w:rFonts w:asciiTheme="minorHAnsi" w:hAnsiTheme="minorHAnsi" w:cstheme="minorHAnsi"/>
            <w:sz w:val="22"/>
            <w:szCs w:val="22"/>
          </w:rPr>
          <w:t>Entrada en vigur</w:t>
        </w:r>
        <w:r w:rsidR="005C2CF2" w:rsidRPr="005C2CF2">
          <w:rPr>
            <w:rFonts w:asciiTheme="minorHAnsi" w:hAnsiTheme="minorHAnsi" w:cstheme="minorHAnsi"/>
            <w:webHidden/>
            <w:sz w:val="22"/>
            <w:szCs w:val="22"/>
          </w:rPr>
          <w:tab/>
        </w:r>
        <w:r w:rsidR="005C2CF2" w:rsidRPr="005C2CF2">
          <w:rPr>
            <w:rFonts w:asciiTheme="minorHAnsi" w:hAnsiTheme="minorHAnsi" w:cstheme="minorHAnsi"/>
            <w:webHidden/>
            <w:sz w:val="22"/>
            <w:szCs w:val="22"/>
          </w:rPr>
          <w:fldChar w:fldCharType="begin"/>
        </w:r>
        <w:r w:rsidR="005C2CF2" w:rsidRPr="005C2CF2">
          <w:rPr>
            <w:rFonts w:asciiTheme="minorHAnsi" w:hAnsiTheme="minorHAnsi" w:cstheme="minorHAnsi"/>
            <w:webHidden/>
            <w:sz w:val="22"/>
            <w:szCs w:val="22"/>
          </w:rPr>
          <w:instrText xml:space="preserve"> PAGEREF _Toc517258347 \h </w:instrText>
        </w:r>
        <w:r w:rsidR="005C2CF2" w:rsidRPr="005C2CF2">
          <w:rPr>
            <w:rFonts w:asciiTheme="minorHAnsi" w:hAnsiTheme="minorHAnsi" w:cstheme="minorHAnsi"/>
            <w:webHidden/>
            <w:sz w:val="22"/>
            <w:szCs w:val="22"/>
          </w:rPr>
        </w:r>
        <w:r w:rsidR="005C2CF2" w:rsidRPr="005C2CF2">
          <w:rPr>
            <w:rFonts w:asciiTheme="minorHAnsi" w:hAnsiTheme="minorHAnsi" w:cstheme="minorHAnsi"/>
            <w:webHidden/>
            <w:sz w:val="22"/>
            <w:szCs w:val="22"/>
          </w:rPr>
          <w:fldChar w:fldCharType="separate"/>
        </w:r>
        <w:r w:rsidR="00D032EE">
          <w:rPr>
            <w:rFonts w:asciiTheme="minorHAnsi" w:hAnsiTheme="minorHAnsi" w:cstheme="minorHAnsi"/>
            <w:webHidden/>
            <w:sz w:val="22"/>
            <w:szCs w:val="22"/>
          </w:rPr>
          <w:t>5</w:t>
        </w:r>
        <w:r w:rsidR="005C2CF2" w:rsidRPr="005C2CF2">
          <w:rPr>
            <w:rFonts w:asciiTheme="minorHAnsi" w:hAnsiTheme="minorHAnsi" w:cstheme="minorHAnsi"/>
            <w:webHidden/>
            <w:sz w:val="22"/>
            <w:szCs w:val="22"/>
          </w:rPr>
          <w:fldChar w:fldCharType="end"/>
        </w:r>
      </w:hyperlink>
    </w:p>
    <w:p w:rsidR="00361CC8" w:rsidRDefault="00361CC8" w:rsidP="00361CC8">
      <w:pPr>
        <w:jc w:val="both"/>
        <w:rPr>
          <w:rFonts w:ascii="Calibri Light" w:hAnsi="Calibri Light" w:cs="Arial"/>
          <w:b/>
          <w:bCs/>
        </w:rPr>
      </w:pPr>
      <w:r w:rsidRPr="005C2CF2">
        <w:rPr>
          <w:rFonts w:cstheme="minorHAnsi"/>
          <w:b/>
          <w:bCs/>
        </w:rPr>
        <w:fldChar w:fldCharType="end"/>
      </w:r>
    </w:p>
    <w:p w:rsidR="00496E29" w:rsidRPr="003B17AB" w:rsidRDefault="00496E29" w:rsidP="00361CC8">
      <w:pPr>
        <w:spacing w:line="360" w:lineRule="auto"/>
        <w:jc w:val="both"/>
        <w:rPr>
          <w:rFonts w:ascii="Calibri Light" w:hAnsi="Calibri Light" w:cs="Arial"/>
        </w:rPr>
      </w:pPr>
    </w:p>
    <w:p w:rsidR="00361CC8" w:rsidRPr="002F5E37" w:rsidRDefault="00361CC8" w:rsidP="00361CC8">
      <w:pPr>
        <w:tabs>
          <w:tab w:val="left" w:pos="1418"/>
        </w:tabs>
        <w:spacing w:after="0" w:line="360" w:lineRule="auto"/>
        <w:rPr>
          <w:rFonts w:ascii="Calibri Light" w:hAnsi="Calibri Light" w:cs="Arial"/>
        </w:rPr>
      </w:pPr>
      <w:r>
        <w:rPr>
          <w:rFonts w:ascii="Calibri Light" w:hAnsi="Calibri Light"/>
        </w:rPr>
        <w:lastRenderedPageBreak/>
        <w:t>Sa basond sin l'artitgel xx da la constituziun communala re</w:t>
      </w:r>
      <w:r w:rsidR="00FB6B93">
        <w:rPr>
          <w:rFonts w:ascii="Calibri Light" w:hAnsi="Calibri Light"/>
        </w:rPr>
        <w:t>lascha la radunanza communala la</w:t>
      </w:r>
      <w:r>
        <w:rPr>
          <w:rFonts w:ascii="Calibri Light" w:hAnsi="Calibri Light"/>
        </w:rPr>
        <w:t xml:space="preserve"> suandant</w:t>
      </w:r>
      <w:r w:rsidR="00FB6B93">
        <w:rPr>
          <w:rFonts w:ascii="Calibri Light" w:hAnsi="Calibri Light"/>
        </w:rPr>
        <w:t>a lescha</w:t>
      </w:r>
      <w:r>
        <w:rPr>
          <w:rFonts w:ascii="Calibri Light" w:hAnsi="Calibri Light"/>
        </w:rPr>
        <w:t>:</w:t>
      </w:r>
    </w:p>
    <w:p w:rsidR="00361CC8" w:rsidRPr="003B17AB" w:rsidRDefault="00361CC8" w:rsidP="00361CC8">
      <w:pPr>
        <w:tabs>
          <w:tab w:val="left" w:pos="1418"/>
        </w:tabs>
        <w:spacing w:after="0" w:line="360" w:lineRule="auto"/>
        <w:rPr>
          <w:rFonts w:ascii="Calibri Light" w:hAnsi="Calibri Light" w:cs="Arial"/>
          <w:sz w:val="20"/>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1" w:name="_Toc517258322"/>
      <w:r>
        <w:rPr>
          <w:rFonts w:ascii="Calibri Light" w:hAnsi="Calibri Light"/>
          <w:szCs w:val="24"/>
        </w:rPr>
        <w:t>Status giuridic da la cumissiun da gestiun</w:t>
      </w:r>
      <w:bookmarkEnd w:id="1"/>
    </w:p>
    <w:p w:rsidR="00361CC8" w:rsidRDefault="00361CC8" w:rsidP="00361CC8">
      <w:pPr>
        <w:pStyle w:val="berschrift2"/>
        <w:tabs>
          <w:tab w:val="left" w:pos="851"/>
        </w:tabs>
        <w:spacing w:before="0" w:after="0"/>
        <w:rPr>
          <w:rFonts w:ascii="Calibri Light" w:hAnsi="Calibri Light" w:cs="Arial"/>
          <w:sz w:val="20"/>
          <w:szCs w:val="20"/>
        </w:rPr>
      </w:pPr>
      <w:bookmarkStart w:id="2" w:name="_Toc245263865"/>
      <w:bookmarkStart w:id="3" w:name="_Toc245687379"/>
    </w:p>
    <w:p w:rsidR="00361CC8" w:rsidRPr="003B17AB" w:rsidRDefault="00361CC8" w:rsidP="00361CC8">
      <w:pPr>
        <w:pStyle w:val="berschrift2"/>
        <w:tabs>
          <w:tab w:val="left" w:pos="851"/>
        </w:tabs>
        <w:spacing w:before="0" w:after="0"/>
        <w:rPr>
          <w:rFonts w:ascii="Calibri Light" w:hAnsi="Calibri Light" w:cs="Arial"/>
          <w:sz w:val="20"/>
          <w:szCs w:val="20"/>
        </w:rPr>
      </w:pPr>
      <w:bookmarkStart w:id="4" w:name="_Toc517258323"/>
      <w:r>
        <w:rPr>
          <w:rFonts w:ascii="Calibri Light" w:hAnsi="Calibri Light"/>
          <w:sz w:val="20"/>
          <w:szCs w:val="20"/>
        </w:rPr>
        <w:t>Art. 1</w:t>
      </w:r>
      <w:r>
        <w:rPr>
          <w:rFonts w:ascii="Calibri Light" w:hAnsi="Calibri Light"/>
          <w:sz w:val="20"/>
          <w:szCs w:val="20"/>
        </w:rPr>
        <w:tab/>
      </w:r>
      <w:bookmarkEnd w:id="2"/>
      <w:bookmarkEnd w:id="3"/>
      <w:r>
        <w:rPr>
          <w:rFonts w:ascii="Calibri Light" w:hAnsi="Calibri Light"/>
          <w:sz w:val="20"/>
          <w:szCs w:val="20"/>
        </w:rPr>
        <w:t>Posiziun</w:t>
      </w:r>
      <w:bookmarkEnd w:id="4"/>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cumissiun da gestiun (numnada qua sutvart CdG) è l'organ da controlla suprem da la vischnanca. Ella è suttamessa directamain a la radunanza communala. La CdG n'è betg in organ executiv e n'ha naginas cumpetenzas independentas d'administraziun e da decisiun.</w:t>
      </w:r>
    </w:p>
    <w:p w:rsidR="00361CC8" w:rsidRPr="003B17AB" w:rsidRDefault="00361CC8" w:rsidP="00361CC8">
      <w:pPr>
        <w:tabs>
          <w:tab w:val="left" w:pos="1418"/>
        </w:tabs>
        <w:spacing w:after="0" w:line="240" w:lineRule="auto"/>
        <w:rPr>
          <w:rFonts w:ascii="Calibri Light" w:hAnsi="Calibri Light" w:cs="Arial"/>
          <w:sz w:val="20"/>
          <w:szCs w:val="20"/>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5" w:name="_Toc517258324"/>
      <w:r>
        <w:rPr>
          <w:rFonts w:ascii="Calibri Light" w:hAnsi="Calibri Light"/>
          <w:sz w:val="20"/>
          <w:szCs w:val="20"/>
        </w:rPr>
        <w:t>Art. 2</w:t>
      </w:r>
      <w:r>
        <w:rPr>
          <w:rFonts w:ascii="Calibri Light" w:hAnsi="Calibri Light"/>
          <w:sz w:val="20"/>
          <w:szCs w:val="20"/>
        </w:rPr>
        <w:tab/>
        <w:t>Pretensiuns, premissas optimalas</w:t>
      </w:r>
      <w:bookmarkEnd w:id="5"/>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En la CdG vegnan elegidas sche pussaivel persunas cun enconuschientschas spezialisadas specificas. Almain ina commembra u in commember duess avair enconuschientschas commerzialas fundamentalas.</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6" w:name="_Toc517258325"/>
      <w:r>
        <w:rPr>
          <w:rFonts w:ascii="Calibri Light" w:hAnsi="Calibri Light"/>
          <w:sz w:val="20"/>
          <w:szCs w:val="20"/>
        </w:rPr>
        <w:t>Art. 3</w:t>
      </w:r>
      <w:r>
        <w:rPr>
          <w:rFonts w:ascii="Calibri Light" w:hAnsi="Calibri Light"/>
          <w:sz w:val="20"/>
          <w:szCs w:val="20"/>
        </w:rPr>
        <w:tab/>
        <w:t>Scolaziun</w:t>
      </w:r>
      <w:bookmarkEnd w:id="6"/>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Cun acceptar in mandat da la CdG sa declera mintga nova commembra e mintga nov commember pronta u pront da frequentar in curs da furmaziun supplementara, sch'ella u el n'ha betg las enconuschientschas spezialisadas necessarias. Ils custs che resultan da quai vegnan surpigliads da la vischnanca.</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7" w:name="_Toc517258326"/>
      <w:r>
        <w:rPr>
          <w:rFonts w:ascii="Calibri Light" w:hAnsi="Calibri Light"/>
          <w:sz w:val="20"/>
          <w:szCs w:val="20"/>
        </w:rPr>
        <w:t>Art. 4</w:t>
      </w:r>
      <w:r>
        <w:rPr>
          <w:rFonts w:ascii="Calibri Light" w:hAnsi="Calibri Light"/>
          <w:sz w:val="20"/>
          <w:szCs w:val="20"/>
        </w:rPr>
        <w:tab/>
        <w:t>Expertas ed experts</w:t>
      </w:r>
      <w:bookmarkEnd w:id="7"/>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Tenor basegn po la CdG proponer da nominar expertas ed experts qualifitgads. La suprastanza communala surdat la revisiun da quints en quest cas a l'instituziun ch'è vegnida proponida da la CdG. Las incumbensas da las expertas e dals experts vegnan fixadas annualmain tenor cunvegnientscha cun la CdG. Las expertas ed ils experts èn suttamess directamain a la CdG ed èn obligads da dar infurmaziuns a quella.</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8" w:name="_Toc517258327"/>
      <w:r>
        <w:rPr>
          <w:rFonts w:ascii="Calibri Light" w:hAnsi="Calibri Light"/>
          <w:sz w:val="20"/>
          <w:szCs w:val="20"/>
        </w:rPr>
        <w:t>Art. 5</w:t>
      </w:r>
      <w:r>
        <w:rPr>
          <w:rFonts w:ascii="Calibri Light" w:hAnsi="Calibri Light"/>
          <w:sz w:val="20"/>
          <w:szCs w:val="20"/>
        </w:rPr>
        <w:tab/>
        <w:t>Responsabladad</w:t>
      </w:r>
      <w:bookmarkEnd w:id="8"/>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sco er sias commembras e ses commembers stattan buns tenor las disposiziuns da la lescha davart la responsabladad dal stadi (LRS; DG 170.050) envers la vischnanca per donns ch'ellas ed els ubain che expertas ed experts externs nominads chaschunan. Il dretg da prender regress ad expertas ed experts externs è garantì per ils sbagls da quellas e da quels.</w:t>
      </w: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Default="00361CC8" w:rsidP="00361CC8">
      <w:pPr>
        <w:tabs>
          <w:tab w:val="left" w:pos="1418"/>
        </w:tabs>
        <w:spacing w:after="0" w:line="240" w:lineRule="auto"/>
        <w:rPr>
          <w:rFonts w:ascii="Calibri Light" w:hAnsi="Calibri Light" w:cs="Arial"/>
          <w:sz w:val="24"/>
          <w:szCs w:val="24"/>
        </w:rPr>
      </w:pPr>
    </w:p>
    <w:p w:rsidR="00EE7FE4" w:rsidRPr="003B17AB" w:rsidRDefault="00EE7FE4"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9" w:name="_Toc517258328"/>
      <w:r>
        <w:rPr>
          <w:rFonts w:ascii="Calibri Light" w:hAnsi="Calibri Light"/>
          <w:szCs w:val="24"/>
        </w:rPr>
        <w:t>Organisaziun</w:t>
      </w:r>
      <w:bookmarkEnd w:id="9"/>
    </w:p>
    <w:p w:rsidR="00361CC8" w:rsidRDefault="00361CC8" w:rsidP="00361CC8">
      <w:pPr>
        <w:pStyle w:val="berschrift2"/>
        <w:tabs>
          <w:tab w:val="left" w:pos="1134"/>
        </w:tabs>
        <w:spacing w:before="0" w:after="0"/>
        <w:rPr>
          <w:rFonts w:ascii="Calibri Light" w:hAnsi="Calibri Light" w:cs="Arial"/>
          <w:szCs w:val="22"/>
        </w:rPr>
      </w:pPr>
      <w:bookmarkStart w:id="10" w:name="_Toc245263866"/>
      <w:bookmarkStart w:id="11" w:name="_Toc245687380"/>
    </w:p>
    <w:p w:rsidR="00361CC8" w:rsidRPr="0077147B" w:rsidRDefault="00361CC8" w:rsidP="00361CC8">
      <w:pPr>
        <w:pStyle w:val="berschrift2"/>
        <w:tabs>
          <w:tab w:val="left" w:pos="851"/>
        </w:tabs>
        <w:spacing w:before="0" w:after="0"/>
        <w:rPr>
          <w:rFonts w:ascii="Calibri Light" w:hAnsi="Calibri Light" w:cs="Arial"/>
          <w:sz w:val="20"/>
          <w:szCs w:val="20"/>
        </w:rPr>
      </w:pPr>
      <w:bookmarkStart w:id="12" w:name="_Toc517258329"/>
      <w:r>
        <w:rPr>
          <w:rFonts w:ascii="Calibri Light" w:hAnsi="Calibri Light"/>
          <w:sz w:val="20"/>
          <w:szCs w:val="20"/>
        </w:rPr>
        <w:t xml:space="preserve">Art. </w:t>
      </w:r>
      <w:bookmarkEnd w:id="10"/>
      <w:bookmarkEnd w:id="11"/>
      <w:r>
        <w:rPr>
          <w:rFonts w:ascii="Calibri Light" w:hAnsi="Calibri Light"/>
          <w:sz w:val="20"/>
          <w:szCs w:val="20"/>
        </w:rPr>
        <w:t>6</w:t>
      </w:r>
      <w:r>
        <w:rPr>
          <w:rFonts w:ascii="Calibri Light" w:hAnsi="Calibri Light"/>
          <w:sz w:val="20"/>
          <w:szCs w:val="20"/>
        </w:rPr>
        <w:tab/>
        <w:t>Cumposiziun, durada d'uffizi</w:t>
      </w:r>
      <w:bookmarkEnd w:id="12"/>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sa cumpona da trais commembras u commembers che vegnan elegids da la radunanza communala. Ella sa constituescha sezza cun fixar ina presidenta u in president or da ses ravugl a chaschun da sia emprima sesida. La durada d'uffizi e l'entrada en uffizi sa drizzan tenor la constituziun communala.</w:t>
      </w:r>
    </w:p>
    <w:p w:rsidR="00361CC8" w:rsidRPr="003B17AB" w:rsidRDefault="00361CC8" w:rsidP="00361CC8">
      <w:pPr>
        <w:tabs>
          <w:tab w:val="left" w:pos="1418"/>
        </w:tabs>
        <w:spacing w:after="0" w:line="240" w:lineRule="auto"/>
        <w:rPr>
          <w:rFonts w:ascii="Calibri Light" w:hAnsi="Calibri Light" w:cs="Arial"/>
          <w:sz w:val="20"/>
          <w:szCs w:val="20"/>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13" w:name="_Toc517258330"/>
      <w:r>
        <w:rPr>
          <w:rFonts w:ascii="Calibri Light" w:hAnsi="Calibri Light"/>
          <w:sz w:val="20"/>
          <w:szCs w:val="20"/>
        </w:rPr>
        <w:t>Art. 7</w:t>
      </w:r>
      <w:r>
        <w:rPr>
          <w:rFonts w:ascii="Calibri Light" w:hAnsi="Calibri Light"/>
          <w:sz w:val="20"/>
          <w:szCs w:val="20"/>
        </w:rPr>
        <w:tab/>
        <w:t>Convocaziun</w:t>
      </w:r>
      <w:bookmarkEnd w:id="13"/>
    </w:p>
    <w:p w:rsidR="00361CC8" w:rsidRPr="003B17AB" w:rsidRDefault="00361CC8" w:rsidP="00361CC8">
      <w:pPr>
        <w:tabs>
          <w:tab w:val="left" w:pos="1418"/>
        </w:tabs>
        <w:spacing w:after="0" w:line="120" w:lineRule="auto"/>
        <w:rPr>
          <w:rFonts w:ascii="Calibri Light" w:hAnsi="Calibri Light" w:cs="Arial"/>
          <w:sz w:val="20"/>
          <w:szCs w:val="20"/>
        </w:rPr>
      </w:pPr>
    </w:p>
    <w:p w:rsidR="00361CC8"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vegn convocada – inditgond las tractandas – tras la presidenta u il president che fixescha las uras ed il lieu da las sesidas. Mintga commembra e commember ha ultra da quai il dretg da pretender ina sesida.</w:t>
      </w:r>
    </w:p>
    <w:p w:rsidR="00361CC8" w:rsidRPr="003B17AB" w:rsidRDefault="00361CC8" w:rsidP="00361CC8">
      <w:pPr>
        <w:rPr>
          <w:rFonts w:ascii="Calibri Light" w:eastAsia="Times New Roman" w:hAnsi="Calibri Light" w:cs="Arial"/>
          <w:b/>
          <w:bCs/>
          <w:iCs/>
        </w:rPr>
      </w:pPr>
      <w:r>
        <w:br w:type="page"/>
      </w: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14" w:name="_Toc517258331"/>
      <w:r>
        <w:rPr>
          <w:rFonts w:ascii="Calibri Light" w:hAnsi="Calibri Light"/>
          <w:sz w:val="20"/>
          <w:szCs w:val="20"/>
        </w:rPr>
        <w:lastRenderedPageBreak/>
        <w:t>Art. 8</w:t>
      </w:r>
      <w:r>
        <w:rPr>
          <w:rFonts w:ascii="Calibri Light" w:hAnsi="Calibri Light"/>
          <w:sz w:val="20"/>
          <w:szCs w:val="20"/>
        </w:rPr>
        <w:tab/>
        <w:t>Indemnisaziun</w:t>
      </w:r>
      <w:bookmarkEnd w:id="14"/>
    </w:p>
    <w:p w:rsidR="00361CC8" w:rsidRPr="00C3042E"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 xml:space="preserve">L'indemnisaziun da la </w:t>
      </w:r>
      <w:r w:rsidR="00FB6B93">
        <w:rPr>
          <w:rFonts w:ascii="Calibri Light" w:hAnsi="Calibri Light"/>
          <w:sz w:val="20"/>
          <w:szCs w:val="20"/>
        </w:rPr>
        <w:t>CdG sa drizza tenor la lescha</w:t>
      </w:r>
      <w:r>
        <w:rPr>
          <w:rFonts w:ascii="Calibri Light" w:hAnsi="Calibri Light"/>
          <w:sz w:val="20"/>
          <w:szCs w:val="20"/>
        </w:rPr>
        <w:t xml:space="preserve"> d'indemnisaziuns da la vischnanca.</w:t>
      </w:r>
    </w:p>
    <w:p w:rsidR="00361CC8" w:rsidRPr="003B17AB" w:rsidRDefault="00361CC8" w:rsidP="00361CC8">
      <w:pPr>
        <w:pStyle w:val="berschrift2"/>
        <w:tabs>
          <w:tab w:val="left" w:pos="1134"/>
        </w:tabs>
        <w:spacing w:before="0" w:after="0"/>
        <w:rPr>
          <w:rFonts w:ascii="Calibri Light" w:hAnsi="Calibri Light" w:cs="Arial"/>
          <w:szCs w:val="22"/>
        </w:rPr>
      </w:pPr>
      <w:bookmarkStart w:id="15" w:name="_Toc245263867"/>
      <w:bookmarkStart w:id="16" w:name="_Toc245687381"/>
    </w:p>
    <w:p w:rsidR="00361CC8" w:rsidRPr="0077147B" w:rsidRDefault="00361CC8" w:rsidP="00361CC8">
      <w:pPr>
        <w:pStyle w:val="berschrift2"/>
        <w:tabs>
          <w:tab w:val="left" w:pos="851"/>
        </w:tabs>
        <w:spacing w:before="0" w:after="0"/>
        <w:rPr>
          <w:rFonts w:ascii="Calibri Light" w:hAnsi="Calibri Light" w:cs="Arial"/>
          <w:sz w:val="20"/>
          <w:szCs w:val="20"/>
        </w:rPr>
      </w:pPr>
      <w:bookmarkStart w:id="17" w:name="_Toc517258332"/>
      <w:r>
        <w:rPr>
          <w:rFonts w:ascii="Calibri Light" w:hAnsi="Calibri Light"/>
          <w:sz w:val="20"/>
          <w:szCs w:val="20"/>
        </w:rPr>
        <w:t xml:space="preserve">Art. </w:t>
      </w:r>
      <w:bookmarkEnd w:id="15"/>
      <w:bookmarkEnd w:id="16"/>
      <w:r>
        <w:rPr>
          <w:rFonts w:ascii="Calibri Light" w:hAnsi="Calibri Light"/>
          <w:sz w:val="20"/>
          <w:szCs w:val="20"/>
        </w:rPr>
        <w:t>9</w:t>
      </w:r>
      <w:r>
        <w:rPr>
          <w:rFonts w:ascii="Calibri Light" w:hAnsi="Calibri Light"/>
          <w:sz w:val="20"/>
          <w:szCs w:val="20"/>
        </w:rPr>
        <w:tab/>
        <w:t>Abilitad da concluder</w:t>
      </w:r>
      <w:bookmarkEnd w:id="17"/>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è abla da concluder, sche la maioritad da sias commembras e da ses commembers è preschenta.</w:t>
      </w:r>
    </w:p>
    <w:p w:rsidR="00361CC8" w:rsidRPr="003C635E" w:rsidRDefault="00361CC8" w:rsidP="00361CC8">
      <w:pPr>
        <w:pStyle w:val="berschrift2"/>
        <w:tabs>
          <w:tab w:val="left" w:pos="1134"/>
        </w:tabs>
        <w:spacing w:before="0" w:after="0"/>
        <w:rPr>
          <w:rFonts w:ascii="Calibri Light" w:hAnsi="Calibri Light" w:cs="Arial"/>
          <w:szCs w:val="22"/>
        </w:rPr>
      </w:pPr>
      <w:bookmarkStart w:id="18" w:name="_Toc245263869"/>
      <w:bookmarkStart w:id="19" w:name="_Toc245687383"/>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0" w:name="_Toc517258333"/>
      <w:r>
        <w:rPr>
          <w:rFonts w:ascii="Calibri Light" w:hAnsi="Calibri Light"/>
          <w:sz w:val="20"/>
          <w:szCs w:val="20"/>
        </w:rPr>
        <w:t xml:space="preserve">Art. </w:t>
      </w:r>
      <w:bookmarkEnd w:id="18"/>
      <w:bookmarkEnd w:id="19"/>
      <w:r>
        <w:rPr>
          <w:rFonts w:ascii="Calibri Light" w:hAnsi="Calibri Light"/>
          <w:sz w:val="20"/>
          <w:szCs w:val="20"/>
        </w:rPr>
        <w:t>10</w:t>
      </w:r>
      <w:r>
        <w:rPr>
          <w:rFonts w:ascii="Calibri Light" w:hAnsi="Calibri Light"/>
          <w:sz w:val="20"/>
          <w:szCs w:val="20"/>
        </w:rPr>
        <w:tab/>
        <w:t>Recusaziun</w:t>
      </w:r>
      <w:bookmarkEnd w:id="20"/>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I valan las regulaziuns da recusaziun tenor la constituziun communala.</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1" w:name="_Toc517258334"/>
      <w:r>
        <w:rPr>
          <w:rFonts w:ascii="Calibri Light" w:hAnsi="Calibri Light"/>
          <w:sz w:val="20"/>
          <w:szCs w:val="20"/>
        </w:rPr>
        <w:t>Art. 11</w:t>
      </w:r>
      <w:r>
        <w:rPr>
          <w:rFonts w:ascii="Calibri Light" w:hAnsi="Calibri Light"/>
          <w:sz w:val="20"/>
          <w:szCs w:val="20"/>
        </w:rPr>
        <w:tab/>
        <w:t>Documents da controlla, protocollaziun</w:t>
      </w:r>
      <w:bookmarkEnd w:id="21"/>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Tut ils documents da controlla ston vegnir tegnids en salv durant almain 10 onns. Las acziuns da controlla ch'èn vegnidas fatgas ston vegnir protocolladas.</w:t>
      </w: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Default="00361CC8" w:rsidP="00361CC8">
      <w:pPr>
        <w:tabs>
          <w:tab w:val="left" w:pos="1418"/>
        </w:tabs>
        <w:spacing w:after="0" w:line="240" w:lineRule="auto"/>
        <w:rPr>
          <w:rFonts w:ascii="Calibri Light" w:hAnsi="Calibri Light" w:cs="Arial"/>
          <w:sz w:val="24"/>
          <w:szCs w:val="24"/>
        </w:rPr>
      </w:pPr>
    </w:p>
    <w:p w:rsidR="00EE7FE4" w:rsidRPr="003B17AB" w:rsidRDefault="00EE7FE4"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22" w:name="_Toc517258335"/>
      <w:r>
        <w:rPr>
          <w:rFonts w:ascii="Calibri Light" w:hAnsi="Calibri Light"/>
          <w:szCs w:val="24"/>
        </w:rPr>
        <w:t>Dretgs ed obligaziuns</w:t>
      </w:r>
      <w:bookmarkEnd w:id="22"/>
    </w:p>
    <w:p w:rsidR="00361CC8"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3" w:name="_Toc517258336"/>
      <w:r>
        <w:rPr>
          <w:rFonts w:ascii="Calibri Light" w:hAnsi="Calibri Light"/>
          <w:sz w:val="20"/>
          <w:szCs w:val="20"/>
        </w:rPr>
        <w:t>Art. 12</w:t>
      </w:r>
      <w:r>
        <w:rPr>
          <w:rFonts w:ascii="Calibri Light" w:hAnsi="Calibri Light"/>
          <w:sz w:val="20"/>
          <w:szCs w:val="20"/>
        </w:rPr>
        <w:tab/>
        <w:t>Incumbensas</w:t>
      </w:r>
      <w:bookmarkEnd w:id="23"/>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sto controllar formalmain e materialmain il quint annual e la gestiun dals organs sco er da las emploiadas e dals emploiads communals il pli tard suenter mintga clusiun dal quint annual. Sia surveglianza cumpiglia tut ils secturs da la direcziun da la vischnanca. Ultra da la controlla dal quint annual (bilantscha, quint economic, quint d'investiziun ed agiunta) sco er d'eventuals quints separats examinescha la CdG er il preventiv e giuditgescha la fixaziun dal pe da taglia. Ella examinescha mussaments, cudeschaziuns, scuntradas e pajaments e surveglia periodicamain il traffic en contant. Sch'ella constatescha irregularitads fa la CdG directamain in rapport en scrit per mauns da la suprastanza communala, eventualmain per mauns da la radunanza communala.</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3B17AB" w:rsidRDefault="00361CC8" w:rsidP="00361CC8">
      <w:pPr>
        <w:pStyle w:val="berschrift2"/>
        <w:tabs>
          <w:tab w:val="left" w:pos="851"/>
        </w:tabs>
        <w:spacing w:before="0" w:after="0"/>
        <w:rPr>
          <w:rFonts w:ascii="Calibri Light" w:hAnsi="Calibri Light" w:cs="Arial"/>
          <w:szCs w:val="22"/>
        </w:rPr>
      </w:pPr>
      <w:bookmarkStart w:id="24" w:name="_Toc517258337"/>
      <w:r>
        <w:rPr>
          <w:rFonts w:ascii="Calibri Light" w:hAnsi="Calibri Light"/>
          <w:szCs w:val="22"/>
        </w:rPr>
        <w:t>Art. 13</w:t>
      </w:r>
      <w:r>
        <w:rPr>
          <w:rFonts w:ascii="Calibri Light" w:hAnsi="Calibri Light"/>
          <w:szCs w:val="22"/>
        </w:rPr>
        <w:tab/>
        <w:t>Repartiziun da las incumbensas</w:t>
      </w:r>
      <w:bookmarkEnd w:id="24"/>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E1261" w:rsidP="00361CC8">
      <w:pPr>
        <w:tabs>
          <w:tab w:val="left" w:pos="1418"/>
        </w:tabs>
        <w:spacing w:after="0" w:line="240" w:lineRule="auto"/>
        <w:rPr>
          <w:rFonts w:ascii="Calibri Light" w:hAnsi="Calibri Light" w:cs="Arial"/>
          <w:sz w:val="20"/>
          <w:szCs w:val="20"/>
        </w:rPr>
      </w:pPr>
      <w:r>
        <w:rPr>
          <w:rFonts w:ascii="Calibri Light" w:hAnsi="Calibri Light"/>
          <w:sz w:val="20"/>
          <w:szCs w:val="20"/>
        </w:rPr>
        <w:t>Sch'i vegnan nominads expertas ed experts per la revisiun da quints sco tala, sa cunvegnan las duas instanzas davart ils secturs da controlla. La CdG sa stenta per in'accordanza e repartiziun da las incumbensas uschè pratica sco pussaivel. Per quest intent fa la CdG sias controllas annualas en collavuraziun e tenor cunvegnientscha cun las expertas ed ils experts.</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5" w:name="_Toc517258338"/>
      <w:r>
        <w:rPr>
          <w:rFonts w:ascii="Calibri Light" w:hAnsi="Calibri Light"/>
          <w:sz w:val="20"/>
          <w:szCs w:val="20"/>
        </w:rPr>
        <w:t>Art. 14</w:t>
      </w:r>
      <w:r>
        <w:rPr>
          <w:rFonts w:ascii="Calibri Light" w:hAnsi="Calibri Light"/>
          <w:sz w:val="20"/>
          <w:szCs w:val="20"/>
        </w:rPr>
        <w:tab/>
        <w:t>Gener e termin da la controlla</w:t>
      </w:r>
      <w:bookmarkEnd w:id="25"/>
    </w:p>
    <w:p w:rsidR="00361CC8" w:rsidRPr="003B17AB" w:rsidRDefault="00361CC8" w:rsidP="00361CC8">
      <w:pPr>
        <w:tabs>
          <w:tab w:val="left" w:pos="1418"/>
        </w:tabs>
        <w:spacing w:after="0" w:line="120" w:lineRule="auto"/>
        <w:rPr>
          <w:rFonts w:ascii="Calibri Light" w:hAnsi="Calibri Light" w:cs="Arial"/>
          <w:sz w:val="20"/>
          <w:szCs w:val="20"/>
          <w:lang w:val="de-DE"/>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A l'organ da controlla statti liber co ch'el vul exequir sia lavur. El po fixar sez il termin da las controllas e far controllas da mintga post administrativ cun u senza annunzia. Medemamain decida la CdG libramain en tge cas ch'i sto vegnir fatg ina controlla detagliada e cumplessiva u ina controlla d'emprova. La finamira è quella da tractar tut ils secturs durant ina perioda da plirs onns. Sco princip vala che la revisiun da quints annuala sto vegnir terminada, avant ch'il quint annual po vegnir preschentà a la radunanza communala.</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6" w:name="_Toc517258339"/>
      <w:r>
        <w:rPr>
          <w:rFonts w:ascii="Calibri Light" w:hAnsi="Calibri Light"/>
          <w:sz w:val="20"/>
          <w:szCs w:val="20"/>
        </w:rPr>
        <w:t>Art. 15</w:t>
      </w:r>
      <w:r>
        <w:rPr>
          <w:rFonts w:ascii="Calibri Light" w:hAnsi="Calibri Light"/>
          <w:sz w:val="20"/>
          <w:szCs w:val="20"/>
        </w:rPr>
        <w:tab/>
        <w:t>Dretg da survegnir infurmaziuns e da prender invista</w:t>
      </w:r>
      <w:bookmarkEnd w:id="26"/>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 xml:space="preserve">La CdG ha il dretg da prender invista da tut ils cudeschs, mussaments, protocols da la radunanza communala e da la suprastanza communala sco er d'autras actas ch'èn necessarias per controllar la gestiun generala. Las commembras ed ils commembers da l'autoritad sco er las emploiadas ed ils emploiads communals pon vegnir envidads da dar infurmaziuns a bucca u en scrit. Ellas ed els èn obligads da dar infurmaziuns senza resalvas e </w:t>
      </w:r>
      <w:r>
        <w:rPr>
          <w:rFonts w:ascii="Calibri Light" w:hAnsi="Calibri Light"/>
          <w:sz w:val="20"/>
          <w:szCs w:val="20"/>
        </w:rPr>
        <w:lastRenderedPageBreak/>
        <w:t>confurm a la vardad. La CdG po prender invista dals registers da taglia, dentant betg da las actas dals singuls pajataglias.</w:t>
      </w:r>
    </w:p>
    <w:p w:rsidR="00EE7FE4" w:rsidRDefault="00EE7FE4" w:rsidP="00361CC8">
      <w:pPr>
        <w:pStyle w:val="berschrift2"/>
        <w:tabs>
          <w:tab w:val="left" w:pos="851"/>
        </w:tabs>
        <w:spacing w:before="0" w:after="0"/>
        <w:rPr>
          <w:rFonts w:ascii="Calibri Light" w:hAnsi="Calibri Light" w:cs="Arial"/>
          <w:sz w:val="20"/>
          <w:szCs w:val="20"/>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7" w:name="_Toc517258340"/>
      <w:r>
        <w:rPr>
          <w:rFonts w:ascii="Calibri Light" w:hAnsi="Calibri Light"/>
          <w:sz w:val="20"/>
          <w:szCs w:val="20"/>
        </w:rPr>
        <w:t>Art. 16</w:t>
      </w:r>
      <w:r>
        <w:rPr>
          <w:rFonts w:ascii="Calibri Light" w:hAnsi="Calibri Light"/>
          <w:sz w:val="20"/>
          <w:szCs w:val="20"/>
        </w:rPr>
        <w:tab/>
        <w:t>Expertas ed experts</w:t>
      </w:r>
      <w:bookmarkEnd w:id="27"/>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En enclegientscha cun la suprastanza communala è la CdG autorisada da consultar expertas ed experts per far controllas spezialas.</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8" w:name="_Toc517258341"/>
      <w:r>
        <w:rPr>
          <w:rFonts w:ascii="Calibri Light" w:hAnsi="Calibri Light"/>
          <w:sz w:val="20"/>
          <w:szCs w:val="20"/>
        </w:rPr>
        <w:t>Art. 17</w:t>
      </w:r>
      <w:r>
        <w:rPr>
          <w:rFonts w:ascii="Calibri Light" w:hAnsi="Calibri Light"/>
          <w:sz w:val="20"/>
          <w:szCs w:val="20"/>
        </w:rPr>
        <w:tab/>
        <w:t>Cussegliaziun e recumandaziuns</w:t>
      </w:r>
      <w:bookmarkEnd w:id="28"/>
    </w:p>
    <w:p w:rsidR="00361CC8" w:rsidRPr="00C3042E"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suprastanza communala po consultar la CdG sco instanza consultativa cunzunt per giuditgar fatschentas cun consequenzas finanzialas decisivas, en connex cun proceduras da preventiv, da la planisaziun da finanzas, da decisiuns da project, da contracts da lunga vista e.u.v. La CdG po er far recumandaziuns per mauns da la suprastanza communala resp. da la radunanza communala.</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9" w:name="_Toc517258342"/>
      <w:r>
        <w:rPr>
          <w:rFonts w:ascii="Calibri Light" w:hAnsi="Calibri Light"/>
          <w:sz w:val="20"/>
          <w:szCs w:val="20"/>
        </w:rPr>
        <w:t>Art. 18</w:t>
      </w:r>
      <w:r>
        <w:rPr>
          <w:rFonts w:ascii="Calibri Light" w:hAnsi="Calibri Light"/>
          <w:sz w:val="20"/>
          <w:szCs w:val="20"/>
        </w:rPr>
        <w:tab/>
        <w:t>Obligaziun da discreziun</w:t>
      </w:r>
      <w:bookmarkEnd w:id="29"/>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Las commembras ed ils commembers da la CdG èn suttamess a l'obligaziun da discreziun uffiziala.</w:t>
      </w: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Default="00361CC8" w:rsidP="00361CC8">
      <w:pPr>
        <w:tabs>
          <w:tab w:val="left" w:pos="1418"/>
        </w:tabs>
        <w:spacing w:after="0" w:line="240" w:lineRule="auto"/>
        <w:rPr>
          <w:rFonts w:ascii="Calibri Light" w:hAnsi="Calibri Light" w:cs="Arial"/>
          <w:sz w:val="24"/>
          <w:szCs w:val="24"/>
        </w:rPr>
      </w:pPr>
    </w:p>
    <w:p w:rsidR="00C44956" w:rsidRPr="003B17AB" w:rsidRDefault="00C44956"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30" w:name="_Toc517258343"/>
      <w:r>
        <w:rPr>
          <w:rFonts w:ascii="Calibri Light" w:hAnsi="Calibri Light"/>
          <w:szCs w:val="24"/>
        </w:rPr>
        <w:t>Termins, rapport e proposta</w:t>
      </w:r>
      <w:bookmarkEnd w:id="30"/>
    </w:p>
    <w:p w:rsidR="00361CC8"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31" w:name="_Toc517258344"/>
      <w:r>
        <w:rPr>
          <w:rFonts w:ascii="Calibri Light" w:hAnsi="Calibri Light"/>
          <w:sz w:val="20"/>
          <w:szCs w:val="20"/>
        </w:rPr>
        <w:t>Art. 19</w:t>
      </w:r>
      <w:r>
        <w:rPr>
          <w:rFonts w:ascii="Calibri Light" w:hAnsi="Calibri Light"/>
          <w:sz w:val="20"/>
          <w:szCs w:val="20"/>
        </w:rPr>
        <w:tab/>
        <w:t>Termins</w:t>
      </w:r>
      <w:bookmarkEnd w:id="31"/>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Il preventiv ed il quint annual ston vegnir surdads a la CdG il pli tard xxx emnas avant la radunanza communala respectiva. La CdG surdat ses rapport e sia proposta il pli tard xxx dis avant la radunanza communala a l'autoritad che fa la proposta ed a l'administraziun communala per l'exposiziun da las actas.</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32" w:name="_Toc517258345"/>
      <w:r>
        <w:rPr>
          <w:rFonts w:ascii="Calibri Light" w:hAnsi="Calibri Light"/>
          <w:sz w:val="20"/>
          <w:szCs w:val="20"/>
        </w:rPr>
        <w:t>Art. 20</w:t>
      </w:r>
      <w:r>
        <w:rPr>
          <w:rFonts w:ascii="Calibri Light" w:hAnsi="Calibri Light"/>
          <w:sz w:val="20"/>
          <w:szCs w:val="20"/>
        </w:rPr>
        <w:tab/>
        <w:t>Rapport e proposta</w:t>
      </w:r>
      <w:bookmarkEnd w:id="32"/>
    </w:p>
    <w:p w:rsidR="00361CC8" w:rsidRPr="00C3042E" w:rsidRDefault="00361CC8" w:rsidP="00361CC8">
      <w:pPr>
        <w:tabs>
          <w:tab w:val="left" w:pos="1418"/>
        </w:tabs>
        <w:spacing w:after="0" w:line="120" w:lineRule="auto"/>
        <w:rPr>
          <w:rFonts w:ascii="Calibri Light" w:hAnsi="Calibri Light" w:cs="Arial"/>
          <w:sz w:val="20"/>
          <w:szCs w:val="20"/>
          <w:lang w:val="fr-CH"/>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Suenter avair terminà las acziuns da controlla fa la CdG in rapport en scrit ch'è datà e ch'è suttascrit da tut las commembras e da tut ils commembers da la CdG participads per mauns da la radunanza communala. Quest rapport cuntegna ina curta descripziun da las acziuns da controlla ch'èn vegnidas exequidas, ina appreziaziun dals resultats, ina posiziun davart la correctadad formala e materiala sco er las propostas da la CdG. Il rapport e las propostas vegnan represchentads da la CdG a chaschun da la radunanza communala. Per tractar ils resultats da la controlla ed il preventiv ha lieu ina sesida communabla da la suprastanza communala e da la CdG. Davart constataziuns da natira subordinada po la CdG consegnar in rapport separà cun propostas correspundentas per mauns da la suprastanza communala.</w:t>
      </w: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Default="00361CC8" w:rsidP="00361CC8">
      <w:pPr>
        <w:tabs>
          <w:tab w:val="left" w:pos="1418"/>
        </w:tabs>
        <w:spacing w:after="0" w:line="240" w:lineRule="auto"/>
        <w:rPr>
          <w:rFonts w:ascii="Calibri Light" w:hAnsi="Calibri Light" w:cs="Arial"/>
          <w:sz w:val="24"/>
          <w:szCs w:val="24"/>
        </w:rPr>
      </w:pPr>
    </w:p>
    <w:p w:rsidR="00C44956" w:rsidRPr="003B17AB" w:rsidRDefault="00C44956"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33" w:name="_Toc517258346"/>
      <w:r>
        <w:rPr>
          <w:rFonts w:ascii="Calibri Light" w:hAnsi="Calibri Light"/>
          <w:szCs w:val="24"/>
        </w:rPr>
        <w:t>Disposiziuns finalas</w:t>
      </w:r>
      <w:bookmarkEnd w:id="33"/>
    </w:p>
    <w:p w:rsidR="00361CC8"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34" w:name="_Toc517258347"/>
      <w:r>
        <w:rPr>
          <w:rFonts w:ascii="Calibri Light" w:hAnsi="Calibri Light"/>
          <w:sz w:val="20"/>
          <w:szCs w:val="20"/>
        </w:rPr>
        <w:t>Art. 21</w:t>
      </w:r>
      <w:r>
        <w:rPr>
          <w:rFonts w:ascii="Calibri Light" w:hAnsi="Calibri Light"/>
          <w:sz w:val="20"/>
          <w:szCs w:val="20"/>
        </w:rPr>
        <w:tab/>
        <w:t>Entrada en vigur</w:t>
      </w:r>
      <w:bookmarkEnd w:id="34"/>
    </w:p>
    <w:p w:rsidR="00361CC8" w:rsidRPr="003B17AB" w:rsidRDefault="00361CC8" w:rsidP="00361CC8">
      <w:pPr>
        <w:tabs>
          <w:tab w:val="left" w:pos="1418"/>
        </w:tabs>
        <w:spacing w:after="0" w:line="120" w:lineRule="auto"/>
        <w:rPr>
          <w:rFonts w:ascii="Calibri Light" w:hAnsi="Calibri Light" w:cs="Arial"/>
          <w:sz w:val="20"/>
          <w:szCs w:val="20"/>
          <w:lang w:val="de-DE"/>
        </w:rPr>
      </w:pPr>
    </w:p>
    <w:p w:rsidR="00361CC8" w:rsidRPr="003B17AB" w:rsidRDefault="00FB6B93" w:rsidP="00361CC8">
      <w:pPr>
        <w:tabs>
          <w:tab w:val="left" w:pos="1418"/>
        </w:tabs>
        <w:spacing w:after="0" w:line="240" w:lineRule="auto"/>
        <w:rPr>
          <w:rFonts w:ascii="Calibri Light" w:hAnsi="Calibri Light" w:cs="Arial"/>
          <w:sz w:val="20"/>
          <w:szCs w:val="20"/>
        </w:rPr>
      </w:pPr>
      <w:r w:rsidRPr="00FB6B93">
        <w:rPr>
          <w:rFonts w:ascii="Calibri Light" w:hAnsi="Calibri Light"/>
          <w:sz w:val="20"/>
          <w:szCs w:val="20"/>
          <w:lang w:val="fr-CH"/>
        </w:rPr>
        <w:t>La lescha</w:t>
      </w:r>
      <w:r>
        <w:rPr>
          <w:rFonts w:ascii="Calibri Light" w:hAnsi="Calibri Light"/>
          <w:sz w:val="20"/>
          <w:szCs w:val="20"/>
        </w:rPr>
        <w:t xml:space="preserve"> qua avant maun è vegnì concludida</w:t>
      </w:r>
      <w:r w:rsidR="00361CC8">
        <w:rPr>
          <w:rFonts w:ascii="Calibri Light" w:hAnsi="Calibri Light"/>
          <w:sz w:val="20"/>
          <w:szCs w:val="20"/>
        </w:rPr>
        <w:t xml:space="preserve"> ils xxx da la radunanza communala.</w:t>
      </w:r>
    </w:p>
    <w:p w:rsidR="00EE3D9A" w:rsidRDefault="00361CC8" w:rsidP="00EE3D9A">
      <w:pPr>
        <w:tabs>
          <w:tab w:val="left" w:pos="1418"/>
        </w:tabs>
        <w:spacing w:after="0" w:line="240" w:lineRule="auto"/>
        <w:rPr>
          <w:rFonts w:ascii="Calibri Light" w:hAnsi="Calibri Light"/>
          <w:sz w:val="20"/>
          <w:szCs w:val="20"/>
        </w:rPr>
      </w:pPr>
      <w:r>
        <w:rPr>
          <w:rFonts w:ascii="Calibri Light" w:hAnsi="Calibri Light"/>
          <w:sz w:val="20"/>
          <w:szCs w:val="20"/>
        </w:rPr>
        <w:t>El</w:t>
      </w:r>
      <w:r w:rsidR="00FB6B93">
        <w:rPr>
          <w:rFonts w:ascii="Calibri Light" w:hAnsi="Calibri Light"/>
          <w:sz w:val="20"/>
          <w:szCs w:val="20"/>
        </w:rPr>
        <w:t>la</w:t>
      </w:r>
      <w:r>
        <w:rPr>
          <w:rFonts w:ascii="Calibri Light" w:hAnsi="Calibri Light"/>
          <w:sz w:val="20"/>
          <w:szCs w:val="20"/>
        </w:rPr>
        <w:t xml:space="preserve"> entra en vigur </w:t>
      </w:r>
      <w:r w:rsidR="00FB6B93">
        <w:rPr>
          <w:rFonts w:ascii="Calibri Light" w:hAnsi="Calibri Light"/>
          <w:sz w:val="20"/>
          <w:szCs w:val="20"/>
        </w:rPr>
        <w:t>ils xxx e remplazza la lescha</w:t>
      </w:r>
      <w:r>
        <w:rPr>
          <w:rFonts w:ascii="Calibri Light" w:hAnsi="Calibri Light"/>
          <w:sz w:val="20"/>
          <w:szCs w:val="20"/>
        </w:rPr>
        <w:t xml:space="preserve"> dals xxx.</w:t>
      </w:r>
    </w:p>
    <w:p w:rsidR="008A6F1D" w:rsidRPr="003B17AB" w:rsidRDefault="00E77713" w:rsidP="00EE3D9A">
      <w:pPr>
        <w:tabs>
          <w:tab w:val="left" w:pos="1418"/>
        </w:tabs>
        <w:spacing w:after="0" w:line="240" w:lineRule="auto"/>
        <w:rPr>
          <w:rFonts w:ascii="Calibri Light" w:eastAsia="Times New Roman" w:hAnsi="Calibri Light" w:cs="Arial"/>
          <w:b/>
        </w:rPr>
      </w:pPr>
      <w:r>
        <w:rPr>
          <w:rFonts w:ascii="Calibri Light" w:hAnsi="Calibri Light"/>
          <w:b/>
          <w:noProof/>
          <w:lang w:val="de-CH" w:eastAsia="de-CH"/>
        </w:rPr>
        <mc:AlternateContent>
          <mc:Choice Requires="wps">
            <w:drawing>
              <wp:anchor distT="0" distB="0" distL="114300" distR="114300" simplePos="0" relativeHeight="251706368" behindDoc="0" locked="0" layoutInCell="1" allowOverlap="1" wp14:anchorId="78D77ABD" wp14:editId="7D8C95CC">
                <wp:simplePos x="0" y="0"/>
                <wp:positionH relativeFrom="column">
                  <wp:posOffset>3322955</wp:posOffset>
                </wp:positionH>
                <wp:positionV relativeFrom="paragraph">
                  <wp:posOffset>8295005</wp:posOffset>
                </wp:positionV>
                <wp:extent cx="291973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403985"/>
                        </a:xfrm>
                        <a:prstGeom prst="rect">
                          <a:avLst/>
                        </a:prstGeom>
                        <a:solidFill>
                          <a:srgbClr val="FFFFFF"/>
                        </a:solidFill>
                        <a:ln w="9525">
                          <a:noFill/>
                          <a:miter lim="800000"/>
                          <a:headEnd/>
                          <a:tailEnd/>
                        </a:ln>
                      </wps:spPr>
                      <wps:txbx>
                        <w:txbxContent>
                          <w:p w:rsidR="0008677D" w:rsidRPr="00E77713" w:rsidRDefault="0008677D" w:rsidP="00166AEC">
                            <w:pPr>
                              <w:tabs>
                                <w:tab w:val="left" w:pos="284"/>
                              </w:tabs>
                              <w:spacing w:after="0"/>
                              <w:rPr>
                                <w:rFonts w:ascii="Calibri Light" w:hAnsi="Calibri Light"/>
                              </w:rPr>
                            </w:pPr>
                            <w:r>
                              <w:rPr>
                                <w:rFonts w:ascii="Calibri Light" w:hAnsi="Calibri Light"/>
                              </w:rPr>
                              <w:t xml:space="preserve">© </w:t>
                            </w:r>
                            <w:r>
                              <w:rPr>
                                <w:rFonts w:ascii="Calibri Light" w:hAnsi="Calibri Light"/>
                              </w:rPr>
                              <w:tab/>
                              <w:t>2018 Uffizi da vischnancas dal Grischun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77ABD" id="_x0000_t202" coordsize="21600,21600" o:spt="202" path="m,l,21600r21600,l21600,xe">
                <v:stroke joinstyle="miter"/>
                <v:path gradientshapeok="t" o:connecttype="rect"/>
              </v:shapetype>
              <v:shape id="Textfeld 2" o:spid="_x0000_s1026" type="#_x0000_t202" style="position:absolute;margin-left:261.65pt;margin-top:653.15pt;width:229.9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" stroked="f">
                <v:textbox style="mso-fit-shape-to-text:t">
                  <w:txbxContent>
                    <w:p w:rsidR="0008677D" w:rsidRPr="00E77713" w:rsidRDefault="0008677D" w:rsidP="00166AEC">
                      <w:pPr>
                        <w:tabs>
                          <w:tab w:val="left" w:pos="284"/>
                        </w:tabs>
                        <w:spacing w:after="0"/>
                        <w:rPr>
                          <w:rFonts w:ascii="Calibri Light" w:hAnsi="Calibri Light"/>
                        </w:rPr>
                      </w:pPr>
                      <w:r>
                        <w:rPr>
                          <w:rFonts w:ascii="Calibri Light" w:hAnsi="Calibri Light"/>
                        </w:rPr>
                        <w:t xml:space="preserve">© </w:t>
                      </w:r>
                      <w:r>
                        <w:rPr>
                          <w:rFonts w:ascii="Calibri Light" w:hAnsi="Calibri Light"/>
                        </w:rPr>
                        <w:tab/>
                        <w:t>2018 Uffizi da vischnancas dal Grischun</w:t>
                      </w:r>
                    </w:p>
                  </w:txbxContent>
                </v:textbox>
              </v:shape>
            </w:pict>
          </mc:Fallback>
        </mc:AlternateContent>
      </w:r>
    </w:p>
    <w:sectPr w:rsidR="008A6F1D" w:rsidRPr="003B17AB" w:rsidSect="00F76243">
      <w:headerReference w:type="default" r:id="rId12"/>
      <w:pgSz w:w="11906" w:h="16838"/>
      <w:pgMar w:top="2127" w:right="1417" w:bottom="2269" w:left="1417" w:header="708" w:footer="708"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50" w:rsidRDefault="00103F50" w:rsidP="00226369">
      <w:pPr>
        <w:spacing w:after="0" w:line="240" w:lineRule="auto"/>
      </w:pPr>
      <w:r>
        <w:separator/>
      </w:r>
    </w:p>
  </w:endnote>
  <w:endnote w:type="continuationSeparator" w:id="0">
    <w:p w:rsidR="00103F50" w:rsidRDefault="00103F50" w:rsidP="00226369">
      <w:pPr>
        <w:spacing w:after="0" w:line="240" w:lineRule="auto"/>
      </w:pPr>
      <w:r>
        <w:continuationSeparator/>
      </w:r>
    </w:p>
  </w:endnote>
  <w:endnote w:type="continuationNotice" w:id="1">
    <w:p w:rsidR="00103F50" w:rsidRDefault="00103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50" w:rsidRDefault="00103F50" w:rsidP="00226369">
      <w:pPr>
        <w:spacing w:after="0" w:line="240" w:lineRule="auto"/>
      </w:pPr>
      <w:r>
        <w:separator/>
      </w:r>
    </w:p>
  </w:footnote>
  <w:footnote w:type="continuationSeparator" w:id="0">
    <w:p w:rsidR="00103F50" w:rsidRDefault="00103F50" w:rsidP="00226369">
      <w:pPr>
        <w:spacing w:after="0" w:line="240" w:lineRule="auto"/>
      </w:pPr>
      <w:r>
        <w:continuationSeparator/>
      </w:r>
    </w:p>
  </w:footnote>
  <w:footnote w:type="continuationNotice" w:id="1">
    <w:p w:rsidR="00103F50" w:rsidRDefault="00103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9A" w:rsidRPr="00EE3D9A" w:rsidRDefault="00FB6B93" w:rsidP="00EE3D9A">
    <w:pPr>
      <w:tabs>
        <w:tab w:val="right" w:pos="9072"/>
      </w:tabs>
      <w:rPr>
        <w:color w:val="808080" w:themeColor="background1" w:themeShade="80"/>
        <w:sz w:val="20"/>
        <w:szCs w:val="20"/>
      </w:rPr>
    </w:pPr>
    <w:r>
      <w:rPr>
        <w:rFonts w:ascii="Constantia" w:hAnsi="Constantia"/>
        <w:color w:val="808080" w:themeColor="background1" w:themeShade="80"/>
        <w:sz w:val="20"/>
        <w:szCs w:val="20"/>
      </w:rPr>
      <w:t>Lescha</w:t>
    </w:r>
    <w:r w:rsidR="00EE3D9A" w:rsidRPr="00EE3D9A">
      <w:rPr>
        <w:rFonts w:ascii="Constantia" w:hAnsi="Constantia"/>
        <w:color w:val="808080" w:themeColor="background1" w:themeShade="80"/>
        <w:sz w:val="20"/>
        <w:szCs w:val="20"/>
      </w:rPr>
      <w:t xml:space="preserve"> per la cumissiun da gestiun</w:t>
    </w:r>
    <w:r w:rsidR="00EE3D9A">
      <w:rPr>
        <w:rFonts w:ascii="Constantia" w:hAnsi="Constantia"/>
        <w:color w:val="808080" w:themeColor="background1" w:themeShade="80"/>
        <w:sz w:val="20"/>
        <w:szCs w:val="20"/>
      </w:rPr>
      <w:t xml:space="preserve"> </w:t>
    </w:r>
    <w:r w:rsidR="00EE3D9A" w:rsidRPr="00EE3D9A">
      <w:rPr>
        <w:rFonts w:ascii="Constantia" w:hAnsi="Constantia"/>
        <w:color w:val="808080" w:themeColor="background1" w:themeShade="80"/>
        <w:sz w:val="20"/>
        <w:szCs w:val="20"/>
      </w:rPr>
      <w:t xml:space="preserve">da la vischnanca da </w:t>
    </w:r>
    <w:r w:rsidR="00EE3D9A">
      <w:rPr>
        <w:rFonts w:ascii="Constantia" w:hAnsi="Constantia"/>
        <w:color w:val="808080" w:themeColor="background1" w:themeShade="80"/>
        <w:sz w:val="20"/>
        <w:szCs w:val="20"/>
      </w:rPr>
      <w:t>xy</w:t>
    </w:r>
    <w:r w:rsidR="00EE3D9A">
      <w:rPr>
        <w:rFonts w:ascii="Constantia" w:hAnsi="Constantia"/>
        <w:color w:val="808080" w:themeColor="background1" w:themeShade="80"/>
        <w:sz w:val="20"/>
        <w:szCs w:val="20"/>
      </w:rPr>
      <w:tab/>
    </w:r>
    <w:sdt>
      <w:sdtPr>
        <w:id w:val="1287544653"/>
        <w:docPartObj>
          <w:docPartGallery w:val="Page Numbers (Top of Page)"/>
          <w:docPartUnique/>
        </w:docPartObj>
      </w:sdtPr>
      <w:sdtEndPr>
        <w:rPr>
          <w:color w:val="808080" w:themeColor="background1" w:themeShade="80"/>
          <w:sz w:val="20"/>
          <w:szCs w:val="20"/>
        </w:rPr>
      </w:sdtEndPr>
      <w:sdtContent>
        <w:r w:rsidR="00EE3D9A" w:rsidRPr="00EE3D9A">
          <w:rPr>
            <w:color w:val="808080" w:themeColor="background1" w:themeShade="80"/>
            <w:sz w:val="20"/>
            <w:szCs w:val="20"/>
          </w:rPr>
          <w:fldChar w:fldCharType="begin"/>
        </w:r>
        <w:r w:rsidR="00EE3D9A" w:rsidRPr="00EE3D9A">
          <w:rPr>
            <w:color w:val="808080" w:themeColor="background1" w:themeShade="80"/>
            <w:sz w:val="20"/>
            <w:szCs w:val="20"/>
          </w:rPr>
          <w:instrText>PAGE   \* MERGEFORMAT</w:instrText>
        </w:r>
        <w:r w:rsidR="00EE3D9A" w:rsidRPr="00EE3D9A">
          <w:rPr>
            <w:color w:val="808080" w:themeColor="background1" w:themeShade="80"/>
            <w:sz w:val="20"/>
            <w:szCs w:val="20"/>
          </w:rPr>
          <w:fldChar w:fldCharType="separate"/>
        </w:r>
        <w:r w:rsidR="003319F7" w:rsidRPr="003319F7">
          <w:rPr>
            <w:noProof/>
            <w:color w:val="808080" w:themeColor="background1" w:themeShade="80"/>
            <w:sz w:val="20"/>
            <w:szCs w:val="20"/>
            <w:lang w:val="de-DE"/>
          </w:rPr>
          <w:t>5</w:t>
        </w:r>
        <w:r w:rsidR="00EE3D9A" w:rsidRPr="00EE3D9A">
          <w:rPr>
            <w:color w:val="808080" w:themeColor="background1" w:themeShade="80"/>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D22"/>
    <w:multiLevelType w:val="hybridMultilevel"/>
    <w:tmpl w:val="26D294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0240922"/>
    <w:multiLevelType w:val="hybridMultilevel"/>
    <w:tmpl w:val="0E5AE3CE"/>
    <w:lvl w:ilvl="0" w:tplc="08070001">
      <w:start w:val="1"/>
      <w:numFmt w:val="bullet"/>
      <w:lvlText w:val=""/>
      <w:lvlJc w:val="left"/>
      <w:pPr>
        <w:ind w:left="64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A620FA"/>
    <w:multiLevelType w:val="hybridMultilevel"/>
    <w:tmpl w:val="41FA65FE"/>
    <w:lvl w:ilvl="0" w:tplc="08070001">
      <w:start w:val="1"/>
      <w:numFmt w:val="bullet"/>
      <w:lvlText w:val=""/>
      <w:lvlJc w:val="left"/>
      <w:pPr>
        <w:ind w:left="2771"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40F7FE8"/>
    <w:multiLevelType w:val="hybridMultilevel"/>
    <w:tmpl w:val="E28A55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C547F7A"/>
    <w:multiLevelType w:val="hybridMultilevel"/>
    <w:tmpl w:val="9B8A7AB8"/>
    <w:lvl w:ilvl="0" w:tplc="0CD461C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69"/>
    <w:rsid w:val="00005D11"/>
    <w:rsid w:val="000072A7"/>
    <w:rsid w:val="00013005"/>
    <w:rsid w:val="00017B85"/>
    <w:rsid w:val="00034F54"/>
    <w:rsid w:val="00046B38"/>
    <w:rsid w:val="00051443"/>
    <w:rsid w:val="000551E8"/>
    <w:rsid w:val="000660CE"/>
    <w:rsid w:val="000715B2"/>
    <w:rsid w:val="000826F7"/>
    <w:rsid w:val="0008677D"/>
    <w:rsid w:val="000B5F9A"/>
    <w:rsid w:val="000D1D6A"/>
    <w:rsid w:val="000E557E"/>
    <w:rsid w:val="000F0A45"/>
    <w:rsid w:val="000F1085"/>
    <w:rsid w:val="00103F50"/>
    <w:rsid w:val="001240D2"/>
    <w:rsid w:val="0012613B"/>
    <w:rsid w:val="00166AEC"/>
    <w:rsid w:val="00173D61"/>
    <w:rsid w:val="00180338"/>
    <w:rsid w:val="00197342"/>
    <w:rsid w:val="00226369"/>
    <w:rsid w:val="00245B61"/>
    <w:rsid w:val="00254005"/>
    <w:rsid w:val="002978B2"/>
    <w:rsid w:val="002A6AE9"/>
    <w:rsid w:val="002B6268"/>
    <w:rsid w:val="002D34EC"/>
    <w:rsid w:val="002E23FD"/>
    <w:rsid w:val="002E380D"/>
    <w:rsid w:val="002F5E37"/>
    <w:rsid w:val="00302354"/>
    <w:rsid w:val="0032668A"/>
    <w:rsid w:val="003319F7"/>
    <w:rsid w:val="00347FD6"/>
    <w:rsid w:val="00361CC8"/>
    <w:rsid w:val="003717FA"/>
    <w:rsid w:val="00383F9F"/>
    <w:rsid w:val="00386B09"/>
    <w:rsid w:val="00386C7A"/>
    <w:rsid w:val="00391598"/>
    <w:rsid w:val="00395F16"/>
    <w:rsid w:val="003B17AB"/>
    <w:rsid w:val="003B724C"/>
    <w:rsid w:val="003C635E"/>
    <w:rsid w:val="003E1261"/>
    <w:rsid w:val="0040158F"/>
    <w:rsid w:val="00404488"/>
    <w:rsid w:val="00407CBD"/>
    <w:rsid w:val="00422124"/>
    <w:rsid w:val="004255A0"/>
    <w:rsid w:val="004341E6"/>
    <w:rsid w:val="0045760C"/>
    <w:rsid w:val="00487791"/>
    <w:rsid w:val="00496E29"/>
    <w:rsid w:val="004D72BF"/>
    <w:rsid w:val="004E17EE"/>
    <w:rsid w:val="004F05CC"/>
    <w:rsid w:val="005101A7"/>
    <w:rsid w:val="00510D5F"/>
    <w:rsid w:val="00534C2F"/>
    <w:rsid w:val="00560C59"/>
    <w:rsid w:val="00567937"/>
    <w:rsid w:val="0057318E"/>
    <w:rsid w:val="00575AC6"/>
    <w:rsid w:val="005815B9"/>
    <w:rsid w:val="005861E1"/>
    <w:rsid w:val="00594D77"/>
    <w:rsid w:val="005977DB"/>
    <w:rsid w:val="005C2CF2"/>
    <w:rsid w:val="005C318F"/>
    <w:rsid w:val="005E5220"/>
    <w:rsid w:val="005E60CD"/>
    <w:rsid w:val="005F7836"/>
    <w:rsid w:val="00603B80"/>
    <w:rsid w:val="00611D0D"/>
    <w:rsid w:val="006409D5"/>
    <w:rsid w:val="00662DA2"/>
    <w:rsid w:val="00682ABA"/>
    <w:rsid w:val="00697592"/>
    <w:rsid w:val="006A0016"/>
    <w:rsid w:val="006B0422"/>
    <w:rsid w:val="006D1207"/>
    <w:rsid w:val="006E0DE0"/>
    <w:rsid w:val="007145EF"/>
    <w:rsid w:val="00725223"/>
    <w:rsid w:val="00727577"/>
    <w:rsid w:val="007309F9"/>
    <w:rsid w:val="00732D4F"/>
    <w:rsid w:val="00743C5E"/>
    <w:rsid w:val="00746ADE"/>
    <w:rsid w:val="00764B44"/>
    <w:rsid w:val="0076706F"/>
    <w:rsid w:val="00770EFA"/>
    <w:rsid w:val="0077147B"/>
    <w:rsid w:val="0077208E"/>
    <w:rsid w:val="00775723"/>
    <w:rsid w:val="00777787"/>
    <w:rsid w:val="00783E8C"/>
    <w:rsid w:val="007B144C"/>
    <w:rsid w:val="007D3663"/>
    <w:rsid w:val="007E46AE"/>
    <w:rsid w:val="007F628B"/>
    <w:rsid w:val="008129A7"/>
    <w:rsid w:val="00822175"/>
    <w:rsid w:val="00826002"/>
    <w:rsid w:val="00827EEB"/>
    <w:rsid w:val="00834BA3"/>
    <w:rsid w:val="008419BD"/>
    <w:rsid w:val="00844D31"/>
    <w:rsid w:val="008568CF"/>
    <w:rsid w:val="00860A77"/>
    <w:rsid w:val="00876635"/>
    <w:rsid w:val="00892AB2"/>
    <w:rsid w:val="00897253"/>
    <w:rsid w:val="008A0D0F"/>
    <w:rsid w:val="008A31B2"/>
    <w:rsid w:val="008A6F1D"/>
    <w:rsid w:val="008B2919"/>
    <w:rsid w:val="008D1AF2"/>
    <w:rsid w:val="008F2751"/>
    <w:rsid w:val="008F54AD"/>
    <w:rsid w:val="009005EB"/>
    <w:rsid w:val="009175D0"/>
    <w:rsid w:val="00920E6F"/>
    <w:rsid w:val="0092611E"/>
    <w:rsid w:val="009345DE"/>
    <w:rsid w:val="00936E58"/>
    <w:rsid w:val="0094131B"/>
    <w:rsid w:val="00942460"/>
    <w:rsid w:val="0094363C"/>
    <w:rsid w:val="00965290"/>
    <w:rsid w:val="00995B48"/>
    <w:rsid w:val="009B1A5A"/>
    <w:rsid w:val="009B240C"/>
    <w:rsid w:val="009C38AE"/>
    <w:rsid w:val="009C658E"/>
    <w:rsid w:val="009E1BAA"/>
    <w:rsid w:val="009E3BFE"/>
    <w:rsid w:val="00A04BAE"/>
    <w:rsid w:val="00A334F5"/>
    <w:rsid w:val="00A5158A"/>
    <w:rsid w:val="00A73629"/>
    <w:rsid w:val="00A8736A"/>
    <w:rsid w:val="00A9030A"/>
    <w:rsid w:val="00A925D9"/>
    <w:rsid w:val="00AA36D1"/>
    <w:rsid w:val="00AB2AC3"/>
    <w:rsid w:val="00AC06B4"/>
    <w:rsid w:val="00B05B65"/>
    <w:rsid w:val="00B13DEB"/>
    <w:rsid w:val="00B17AD6"/>
    <w:rsid w:val="00B23CC2"/>
    <w:rsid w:val="00B2721B"/>
    <w:rsid w:val="00B47181"/>
    <w:rsid w:val="00B5371C"/>
    <w:rsid w:val="00B53E4D"/>
    <w:rsid w:val="00B60298"/>
    <w:rsid w:val="00B66BF0"/>
    <w:rsid w:val="00B878E9"/>
    <w:rsid w:val="00B90A88"/>
    <w:rsid w:val="00BB4F55"/>
    <w:rsid w:val="00BE05AA"/>
    <w:rsid w:val="00BF0612"/>
    <w:rsid w:val="00BF07F6"/>
    <w:rsid w:val="00BF0EF2"/>
    <w:rsid w:val="00C01AB1"/>
    <w:rsid w:val="00C03888"/>
    <w:rsid w:val="00C23A5B"/>
    <w:rsid w:val="00C3042E"/>
    <w:rsid w:val="00C3260F"/>
    <w:rsid w:val="00C35D12"/>
    <w:rsid w:val="00C4315F"/>
    <w:rsid w:val="00C44956"/>
    <w:rsid w:val="00C52982"/>
    <w:rsid w:val="00C72ABF"/>
    <w:rsid w:val="00C9337F"/>
    <w:rsid w:val="00C955AF"/>
    <w:rsid w:val="00CA211C"/>
    <w:rsid w:val="00CA272C"/>
    <w:rsid w:val="00CA5BEB"/>
    <w:rsid w:val="00CD4E5B"/>
    <w:rsid w:val="00D032EE"/>
    <w:rsid w:val="00D05CDE"/>
    <w:rsid w:val="00D21BF3"/>
    <w:rsid w:val="00D22844"/>
    <w:rsid w:val="00D341B5"/>
    <w:rsid w:val="00D3575A"/>
    <w:rsid w:val="00D36679"/>
    <w:rsid w:val="00D406DA"/>
    <w:rsid w:val="00D45470"/>
    <w:rsid w:val="00D46379"/>
    <w:rsid w:val="00D60A7F"/>
    <w:rsid w:val="00D62932"/>
    <w:rsid w:val="00D6422B"/>
    <w:rsid w:val="00D92D60"/>
    <w:rsid w:val="00D944F5"/>
    <w:rsid w:val="00DB186F"/>
    <w:rsid w:val="00DB1B09"/>
    <w:rsid w:val="00DB46E4"/>
    <w:rsid w:val="00DC70C2"/>
    <w:rsid w:val="00DD7D94"/>
    <w:rsid w:val="00DF346A"/>
    <w:rsid w:val="00DF58CB"/>
    <w:rsid w:val="00DF6F52"/>
    <w:rsid w:val="00E07144"/>
    <w:rsid w:val="00E13BC1"/>
    <w:rsid w:val="00E31106"/>
    <w:rsid w:val="00E420EB"/>
    <w:rsid w:val="00E42DBA"/>
    <w:rsid w:val="00E47631"/>
    <w:rsid w:val="00E77713"/>
    <w:rsid w:val="00E860D8"/>
    <w:rsid w:val="00EC2942"/>
    <w:rsid w:val="00EC4944"/>
    <w:rsid w:val="00EE3D9A"/>
    <w:rsid w:val="00EE4F03"/>
    <w:rsid w:val="00EE50B6"/>
    <w:rsid w:val="00EE7FE4"/>
    <w:rsid w:val="00EF5CE6"/>
    <w:rsid w:val="00F07D37"/>
    <w:rsid w:val="00F23EA3"/>
    <w:rsid w:val="00F26CE2"/>
    <w:rsid w:val="00F3219F"/>
    <w:rsid w:val="00F33CDC"/>
    <w:rsid w:val="00F70D02"/>
    <w:rsid w:val="00F72424"/>
    <w:rsid w:val="00F76243"/>
    <w:rsid w:val="00F92F3B"/>
    <w:rsid w:val="00FA173F"/>
    <w:rsid w:val="00FA1BFF"/>
    <w:rsid w:val="00FB6B93"/>
    <w:rsid w:val="00FD1B67"/>
    <w:rsid w:val="00FE1983"/>
    <w:rsid w:val="00FE4A27"/>
    <w:rsid w:val="00FE5053"/>
    <w:rsid w:val="00FE68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2FE3A13-EAD6-4B92-902E-25F1795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m-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47631"/>
    <w:pPr>
      <w:keepNext/>
      <w:spacing w:after="0" w:line="240" w:lineRule="auto"/>
      <w:outlineLvl w:val="0"/>
    </w:pPr>
    <w:rPr>
      <w:rFonts w:ascii="Arial" w:eastAsia="Times New Roman" w:hAnsi="Arial" w:cs="Arial"/>
      <w:b/>
      <w:bCs/>
      <w:sz w:val="24"/>
      <w:szCs w:val="20"/>
      <w:lang w:eastAsia="de-DE"/>
    </w:rPr>
  </w:style>
  <w:style w:type="paragraph" w:styleId="berschrift2">
    <w:name w:val="heading 2"/>
    <w:basedOn w:val="Standard"/>
    <w:next w:val="Standard"/>
    <w:link w:val="berschrift2Zchn"/>
    <w:uiPriority w:val="9"/>
    <w:unhideWhenUsed/>
    <w:qFormat/>
    <w:rsid w:val="00E47631"/>
    <w:pPr>
      <w:keepNext/>
      <w:spacing w:before="240" w:after="60" w:line="240" w:lineRule="auto"/>
      <w:outlineLvl w:val="1"/>
    </w:pPr>
    <w:rPr>
      <w:rFonts w:ascii="Arial" w:eastAsia="Times New Roman" w:hAnsi="Arial" w:cs="Times New Roman"/>
      <w:b/>
      <w:bCs/>
      <w:iCs/>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63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CH"/>
    </w:rPr>
  </w:style>
  <w:style w:type="character" w:customStyle="1" w:styleId="TitelZchn">
    <w:name w:val="Titel Zchn"/>
    <w:basedOn w:val="Absatz-Standardschriftart"/>
    <w:link w:val="Titel"/>
    <w:uiPriority w:val="10"/>
    <w:rsid w:val="00226369"/>
    <w:rPr>
      <w:rFonts w:asciiTheme="majorHAnsi" w:eastAsiaTheme="majorEastAsia" w:hAnsiTheme="majorHAnsi" w:cstheme="majorBidi"/>
      <w:color w:val="17365D" w:themeColor="text2" w:themeShade="BF"/>
      <w:spacing w:val="5"/>
      <w:kern w:val="28"/>
      <w:sz w:val="52"/>
      <w:szCs w:val="52"/>
      <w:lang w:eastAsia="de-CH"/>
    </w:rPr>
  </w:style>
  <w:style w:type="paragraph" w:styleId="Untertitel">
    <w:name w:val="Subtitle"/>
    <w:basedOn w:val="Standard"/>
    <w:next w:val="Standard"/>
    <w:link w:val="UntertitelZchn"/>
    <w:uiPriority w:val="11"/>
    <w:qFormat/>
    <w:rsid w:val="00226369"/>
    <w:pPr>
      <w:numPr>
        <w:ilvl w:val="1"/>
      </w:numPr>
    </w:pPr>
    <w:rPr>
      <w:rFonts w:asciiTheme="majorHAnsi" w:eastAsiaTheme="majorEastAsia" w:hAnsiTheme="majorHAnsi" w:cstheme="majorBidi"/>
      <w:i/>
      <w:iCs/>
      <w:color w:val="4F81BD" w:themeColor="accent1"/>
      <w:spacing w:val="15"/>
      <w:sz w:val="24"/>
      <w:szCs w:val="24"/>
      <w:lang w:eastAsia="de-CH"/>
    </w:rPr>
  </w:style>
  <w:style w:type="character" w:customStyle="1" w:styleId="UntertitelZchn">
    <w:name w:val="Untertitel Zchn"/>
    <w:basedOn w:val="Absatz-Standardschriftart"/>
    <w:link w:val="Untertitel"/>
    <w:uiPriority w:val="11"/>
    <w:rsid w:val="00226369"/>
    <w:rPr>
      <w:rFonts w:asciiTheme="majorHAnsi" w:eastAsiaTheme="majorEastAsia" w:hAnsiTheme="majorHAnsi" w:cstheme="majorBidi"/>
      <w:i/>
      <w:iCs/>
      <w:color w:val="4F81BD" w:themeColor="accent1"/>
      <w:spacing w:val="15"/>
      <w:sz w:val="24"/>
      <w:szCs w:val="24"/>
      <w:lang w:eastAsia="de-CH"/>
    </w:rPr>
  </w:style>
  <w:style w:type="paragraph" w:styleId="Sprechblasentext">
    <w:name w:val="Balloon Text"/>
    <w:basedOn w:val="Standard"/>
    <w:link w:val="SprechblasentextZchn"/>
    <w:uiPriority w:val="99"/>
    <w:semiHidden/>
    <w:unhideWhenUsed/>
    <w:rsid w:val="002263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369"/>
    <w:rPr>
      <w:rFonts w:ascii="Tahoma" w:hAnsi="Tahoma" w:cs="Tahoma"/>
      <w:sz w:val="16"/>
      <w:szCs w:val="16"/>
    </w:rPr>
  </w:style>
  <w:style w:type="paragraph" w:styleId="Kopfzeile">
    <w:name w:val="header"/>
    <w:basedOn w:val="Standard"/>
    <w:link w:val="KopfzeileZchn"/>
    <w:uiPriority w:val="99"/>
    <w:unhideWhenUsed/>
    <w:rsid w:val="00226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369"/>
  </w:style>
  <w:style w:type="paragraph" w:styleId="Fuzeile">
    <w:name w:val="footer"/>
    <w:basedOn w:val="Standard"/>
    <w:link w:val="FuzeileZchn"/>
    <w:uiPriority w:val="99"/>
    <w:unhideWhenUsed/>
    <w:rsid w:val="00226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369"/>
  </w:style>
  <w:style w:type="paragraph" w:customStyle="1" w:styleId="KeinAbsatzformat">
    <w:name w:val="[Kein Absatzformat]"/>
    <w:rsid w:val="00226369"/>
    <w:pPr>
      <w:autoSpaceDE w:val="0"/>
      <w:autoSpaceDN w:val="0"/>
      <w:adjustRightInd w:val="0"/>
      <w:spacing w:after="0" w:line="288" w:lineRule="auto"/>
      <w:textAlignment w:val="baseline"/>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rsid w:val="00E47631"/>
    <w:rPr>
      <w:rFonts w:ascii="Arial" w:eastAsia="Times New Roman" w:hAnsi="Arial" w:cs="Arial"/>
      <w:b/>
      <w:bCs/>
      <w:sz w:val="24"/>
      <w:szCs w:val="20"/>
      <w:lang w:val="rm-CH" w:eastAsia="de-DE"/>
    </w:rPr>
  </w:style>
  <w:style w:type="character" w:customStyle="1" w:styleId="berschrift2Zchn">
    <w:name w:val="Überschrift 2 Zchn"/>
    <w:basedOn w:val="Absatz-Standardschriftart"/>
    <w:link w:val="berschrift2"/>
    <w:uiPriority w:val="9"/>
    <w:rsid w:val="00E47631"/>
    <w:rPr>
      <w:rFonts w:ascii="Arial" w:eastAsia="Times New Roman" w:hAnsi="Arial" w:cs="Times New Roman"/>
      <w:b/>
      <w:bCs/>
      <w:iCs/>
      <w:szCs w:val="28"/>
      <w:lang w:val="rm-CH" w:eastAsia="de-DE"/>
    </w:rPr>
  </w:style>
  <w:style w:type="paragraph" w:styleId="Verzeichnis1">
    <w:name w:val="toc 1"/>
    <w:basedOn w:val="Standard"/>
    <w:next w:val="Standard"/>
    <w:autoRedefine/>
    <w:uiPriority w:val="39"/>
    <w:unhideWhenUsed/>
    <w:rsid w:val="00E47631"/>
    <w:pPr>
      <w:tabs>
        <w:tab w:val="left" w:pos="1134"/>
        <w:tab w:val="right" w:leader="dot" w:pos="9061"/>
      </w:tabs>
      <w:spacing w:before="360" w:after="60" w:line="240" w:lineRule="auto"/>
    </w:pPr>
    <w:rPr>
      <w:rFonts w:ascii="Arial" w:eastAsia="Times New Roman" w:hAnsi="Arial" w:cs="Times New Roman"/>
      <w:b/>
      <w:noProof/>
      <w:sz w:val="28"/>
      <w:szCs w:val="20"/>
      <w:lang w:eastAsia="de-DE"/>
    </w:rPr>
  </w:style>
  <w:style w:type="character" w:styleId="Hyperlink">
    <w:name w:val="Hyperlink"/>
    <w:uiPriority w:val="99"/>
    <w:unhideWhenUsed/>
    <w:rsid w:val="00E47631"/>
    <w:rPr>
      <w:color w:val="0000FF"/>
      <w:u w:val="single"/>
    </w:rPr>
  </w:style>
  <w:style w:type="paragraph" w:styleId="Verzeichnis2">
    <w:name w:val="toc 2"/>
    <w:basedOn w:val="Standard"/>
    <w:next w:val="Standard"/>
    <w:autoRedefine/>
    <w:uiPriority w:val="39"/>
    <w:unhideWhenUsed/>
    <w:rsid w:val="00E47631"/>
    <w:pPr>
      <w:tabs>
        <w:tab w:val="left" w:pos="1134"/>
        <w:tab w:val="right" w:pos="9072"/>
      </w:tabs>
      <w:spacing w:before="60" w:after="0" w:line="240" w:lineRule="auto"/>
    </w:pPr>
    <w:rPr>
      <w:rFonts w:ascii="Arial" w:eastAsia="Times New Roman" w:hAnsi="Arial" w:cs="Arial"/>
      <w:noProof/>
      <w:sz w:val="24"/>
      <w:szCs w:val="32"/>
      <w:lang w:eastAsia="de-DE"/>
    </w:rPr>
  </w:style>
  <w:style w:type="paragraph" w:styleId="Listenabsatz">
    <w:name w:val="List Paragraph"/>
    <w:basedOn w:val="Standard"/>
    <w:uiPriority w:val="34"/>
    <w:qFormat/>
    <w:rsid w:val="000551E8"/>
    <w:pPr>
      <w:ind w:left="720"/>
      <w:contextualSpacing/>
    </w:pPr>
  </w:style>
  <w:style w:type="character" w:styleId="Kommentarzeichen">
    <w:name w:val="annotation reference"/>
    <w:basedOn w:val="Absatz-Standardschriftart"/>
    <w:uiPriority w:val="99"/>
    <w:semiHidden/>
    <w:unhideWhenUsed/>
    <w:rsid w:val="000E557E"/>
    <w:rPr>
      <w:sz w:val="16"/>
      <w:szCs w:val="16"/>
    </w:rPr>
  </w:style>
  <w:style w:type="paragraph" w:styleId="Kommentartext">
    <w:name w:val="annotation text"/>
    <w:basedOn w:val="Standard"/>
    <w:link w:val="KommentartextZchn"/>
    <w:uiPriority w:val="99"/>
    <w:semiHidden/>
    <w:unhideWhenUsed/>
    <w:rsid w:val="000E55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557E"/>
    <w:rPr>
      <w:sz w:val="20"/>
      <w:szCs w:val="20"/>
    </w:rPr>
  </w:style>
  <w:style w:type="paragraph" w:styleId="Kommentarthema">
    <w:name w:val="annotation subject"/>
    <w:basedOn w:val="Kommentartext"/>
    <w:next w:val="Kommentartext"/>
    <w:link w:val="KommentarthemaZchn"/>
    <w:uiPriority w:val="99"/>
    <w:semiHidden/>
    <w:unhideWhenUsed/>
    <w:rsid w:val="000E557E"/>
    <w:rPr>
      <w:b/>
      <w:bCs/>
    </w:rPr>
  </w:style>
  <w:style w:type="character" w:customStyle="1" w:styleId="KommentarthemaZchn">
    <w:name w:val="Kommentarthema Zchn"/>
    <w:basedOn w:val="KommentartextZchn"/>
    <w:link w:val="Kommentarthema"/>
    <w:uiPriority w:val="99"/>
    <w:semiHidden/>
    <w:rsid w:val="000E5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Amt für Gemeinden</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ticleStartDate xmlns="http://schemas.microsoft.com/sharepoint/v3" xsi:nil="true"/>
    <PublishingExpirationDate xmlns="http://schemas.microsoft.com/sharepoint/v3" xsi:nil="true"/>
    <PublishingStartDate xmlns="http://schemas.microsoft.com/sharepoint/v3" xsi:nil="true"/>
    <CustomerID xmlns="b9bbc5c3-42c9-4c30-b7a3-3f0c5e2a5378">2</CustomerID>
  </documentManagement>
</p:properties>
</file>

<file path=customXml/itemProps1.xml><?xml version="1.0" encoding="utf-8"?>
<ds:datastoreItem xmlns:ds="http://schemas.openxmlformats.org/officeDocument/2006/customXml" ds:itemID="{CCF3F6B2-7F9B-4FFF-A8B2-78843CA9E68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8240D7C-1C8C-4CA9-B8F5-16FB18B17AB9}"/>
</file>

<file path=customXml/itemProps4.xml><?xml version="1.0" encoding="utf-8"?>
<ds:datastoreItem xmlns:ds="http://schemas.openxmlformats.org/officeDocument/2006/customXml" ds:itemID="{518CC6ED-B888-440E-B1B4-21CE9647B631}"/>
</file>

<file path=customXml/itemProps5.xml><?xml version="1.0" encoding="utf-8"?>
<ds:datastoreItem xmlns:ds="http://schemas.openxmlformats.org/officeDocument/2006/customXml" ds:itemID="{D66AA93C-AFC5-46F5-9DD7-0F711F777445}"/>
</file>

<file path=docProps/app.xml><?xml version="1.0" encoding="utf-8"?>
<Properties xmlns="http://schemas.openxmlformats.org/officeDocument/2006/extended-properties" xmlns:vt="http://schemas.openxmlformats.org/officeDocument/2006/docPropsVTypes">
  <Template>CA4FFE5A.dotm</Template>
  <TotalTime>0</TotalTime>
  <Pages>5</Pages>
  <Words>1374</Words>
  <Characters>8657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Mussavia da la CdG model reglament</vt:lpstr>
      <vt:lpstr>GPK-Leitfaden </vt:lpstr>
    </vt:vector>
  </TitlesOfParts>
  <Company>Kantonale Verwaltung Graubünden</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Mussavia da la CdG model reglament</dc:title>
  <dc:subject>Neuauflage 2013</dc:subject>
  <dc:creator>Fritschi Sandra</dc:creator>
  <cp:keywords/>
  <dc:description/>
  <cp:lastModifiedBy>Fritschi Sandra</cp:lastModifiedBy>
  <cp:revision>2</cp:revision>
  <cp:lastPrinted>2018-06-22T05:45:00Z</cp:lastPrinted>
  <dcterms:created xsi:type="dcterms:W3CDTF">2019-10-29T08:23:00Z</dcterms:created>
  <dcterms:modified xsi:type="dcterms:W3CDTF">2019-10-29T08:23:00Z</dcterms:modified>
  <cp:category>GPK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